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40F1" w:rsidRPr="00CF22AE" w:rsidRDefault="0039742E" w:rsidP="009440F1">
      <w:pPr>
        <w:spacing w:after="0" w:line="360" w:lineRule="auto"/>
        <w:jc w:val="center"/>
        <w:rPr>
          <w:rFonts w:ascii="Times New Roman" w:eastAsia="Times New Roman" w:hAnsi="Times New Roman" w:cs="Times New Roman"/>
          <w:b/>
          <w:spacing w:val="-1"/>
          <w:sz w:val="28"/>
        </w:rPr>
      </w:pPr>
      <w:r w:rsidRPr="00CF22AE">
        <w:rPr>
          <w:rFonts w:ascii="Times New Roman" w:eastAsia="Times New Roman" w:hAnsi="Times New Roman" w:cs="Times New Roman"/>
          <w:b/>
          <w:spacing w:val="-2"/>
          <w:sz w:val="28"/>
        </w:rPr>
        <w:t xml:space="preserve"> </w:t>
      </w:r>
      <w:r w:rsidR="009440F1" w:rsidRPr="00CF22AE">
        <w:rPr>
          <w:rFonts w:ascii="Times New Roman" w:eastAsia="Times New Roman" w:hAnsi="Times New Roman" w:cs="Times New Roman"/>
          <w:b/>
          <w:spacing w:val="-2"/>
          <w:sz w:val="28"/>
        </w:rPr>
        <w:t>МІНІСТЕРСТВО</w:t>
      </w:r>
      <w:r w:rsidR="009440F1" w:rsidRPr="00CF22AE">
        <w:rPr>
          <w:rFonts w:ascii="Times New Roman" w:eastAsia="Times New Roman" w:hAnsi="Times New Roman" w:cs="Times New Roman"/>
          <w:b/>
          <w:spacing w:val="-14"/>
          <w:sz w:val="28"/>
        </w:rPr>
        <w:t xml:space="preserve"> </w:t>
      </w:r>
      <w:r w:rsidR="009440F1" w:rsidRPr="00CF22AE">
        <w:rPr>
          <w:rFonts w:ascii="Times New Roman" w:eastAsia="Times New Roman" w:hAnsi="Times New Roman" w:cs="Times New Roman"/>
          <w:b/>
          <w:spacing w:val="-2"/>
          <w:sz w:val="28"/>
        </w:rPr>
        <w:t>ОХОРОНИ</w:t>
      </w:r>
      <w:r w:rsidR="009440F1" w:rsidRPr="00CF22AE">
        <w:rPr>
          <w:rFonts w:ascii="Times New Roman" w:eastAsia="Times New Roman" w:hAnsi="Times New Roman" w:cs="Times New Roman"/>
          <w:b/>
          <w:spacing w:val="-11"/>
          <w:sz w:val="28"/>
        </w:rPr>
        <w:t xml:space="preserve"> </w:t>
      </w:r>
      <w:r w:rsidR="009440F1" w:rsidRPr="00CF22AE">
        <w:rPr>
          <w:rFonts w:ascii="Times New Roman" w:eastAsia="Times New Roman" w:hAnsi="Times New Roman" w:cs="Times New Roman"/>
          <w:b/>
          <w:spacing w:val="-2"/>
          <w:sz w:val="28"/>
        </w:rPr>
        <w:t>ЗДОРОВ’Я</w:t>
      </w:r>
      <w:r w:rsidR="009440F1" w:rsidRPr="00CF22AE">
        <w:rPr>
          <w:rFonts w:ascii="Times New Roman" w:eastAsia="Times New Roman" w:hAnsi="Times New Roman" w:cs="Times New Roman"/>
          <w:b/>
          <w:spacing w:val="-11"/>
          <w:sz w:val="28"/>
        </w:rPr>
        <w:t xml:space="preserve"> </w:t>
      </w:r>
      <w:r w:rsidR="009440F1" w:rsidRPr="00CF22AE">
        <w:rPr>
          <w:rFonts w:ascii="Times New Roman" w:eastAsia="Times New Roman" w:hAnsi="Times New Roman" w:cs="Times New Roman"/>
          <w:b/>
          <w:spacing w:val="-1"/>
          <w:sz w:val="28"/>
        </w:rPr>
        <w:t xml:space="preserve">УКРАЇНИ </w:t>
      </w:r>
    </w:p>
    <w:p w:rsidR="009440F1" w:rsidRPr="00CF22AE" w:rsidRDefault="009440F1" w:rsidP="009440F1">
      <w:pPr>
        <w:spacing w:after="0" w:line="360" w:lineRule="auto"/>
        <w:jc w:val="center"/>
        <w:rPr>
          <w:rFonts w:ascii="Times New Roman" w:eastAsia="Times New Roman" w:hAnsi="Times New Roman" w:cs="Times New Roman"/>
          <w:b/>
          <w:bCs/>
          <w:sz w:val="28"/>
          <w:szCs w:val="28"/>
        </w:rPr>
      </w:pPr>
      <w:r w:rsidRPr="00CF22AE">
        <w:rPr>
          <w:rFonts w:ascii="Times New Roman" w:eastAsia="Times New Roman" w:hAnsi="Times New Roman" w:cs="Times New Roman"/>
          <w:b/>
          <w:bCs/>
          <w:sz w:val="28"/>
          <w:szCs w:val="28"/>
        </w:rPr>
        <w:t>ТЕРНОПІЛЬСЬКИЙ НАЦІОНАЛЬНИЙ МЕДИЧНИЙ УНІВЕРСИТЕТ</w:t>
      </w:r>
      <w:r w:rsidRPr="00CF22AE">
        <w:rPr>
          <w:rFonts w:ascii="Times New Roman" w:eastAsia="Times New Roman" w:hAnsi="Times New Roman" w:cs="Times New Roman"/>
          <w:b/>
          <w:bCs/>
          <w:spacing w:val="-67"/>
          <w:sz w:val="28"/>
          <w:szCs w:val="28"/>
        </w:rPr>
        <w:t xml:space="preserve"> </w:t>
      </w:r>
      <w:r w:rsidRPr="00CF22AE">
        <w:rPr>
          <w:rFonts w:ascii="Times New Roman" w:eastAsia="Times New Roman" w:hAnsi="Times New Roman" w:cs="Times New Roman"/>
          <w:b/>
          <w:bCs/>
          <w:sz w:val="28"/>
          <w:szCs w:val="28"/>
        </w:rPr>
        <w:t>ІМЕНІ</w:t>
      </w:r>
      <w:r w:rsidRPr="00CF22AE">
        <w:rPr>
          <w:rFonts w:ascii="Times New Roman" w:eastAsia="Times New Roman" w:hAnsi="Times New Roman" w:cs="Times New Roman"/>
          <w:b/>
          <w:bCs/>
          <w:spacing w:val="-6"/>
          <w:sz w:val="28"/>
          <w:szCs w:val="28"/>
        </w:rPr>
        <w:t xml:space="preserve"> </w:t>
      </w:r>
      <w:r w:rsidRPr="00CF22AE">
        <w:rPr>
          <w:rFonts w:ascii="Times New Roman" w:eastAsia="Times New Roman" w:hAnsi="Times New Roman" w:cs="Times New Roman"/>
          <w:b/>
          <w:bCs/>
          <w:sz w:val="28"/>
          <w:szCs w:val="28"/>
        </w:rPr>
        <w:t>І.</w:t>
      </w:r>
      <w:r w:rsidRPr="00CF22AE">
        <w:rPr>
          <w:rFonts w:ascii="Times New Roman" w:eastAsia="Times New Roman" w:hAnsi="Times New Roman" w:cs="Times New Roman"/>
          <w:b/>
          <w:bCs/>
          <w:spacing w:val="-3"/>
          <w:sz w:val="28"/>
          <w:szCs w:val="28"/>
        </w:rPr>
        <w:t xml:space="preserve"> </w:t>
      </w:r>
      <w:r w:rsidRPr="00CF22AE">
        <w:rPr>
          <w:rFonts w:ascii="Times New Roman" w:eastAsia="Times New Roman" w:hAnsi="Times New Roman" w:cs="Times New Roman"/>
          <w:b/>
          <w:bCs/>
          <w:sz w:val="28"/>
          <w:szCs w:val="28"/>
        </w:rPr>
        <w:t>Я.</w:t>
      </w:r>
      <w:r w:rsidRPr="00CF22AE">
        <w:rPr>
          <w:rFonts w:ascii="Times New Roman" w:eastAsia="Times New Roman" w:hAnsi="Times New Roman" w:cs="Times New Roman"/>
          <w:b/>
          <w:bCs/>
          <w:spacing w:val="-4"/>
          <w:sz w:val="28"/>
          <w:szCs w:val="28"/>
        </w:rPr>
        <w:t xml:space="preserve"> </w:t>
      </w:r>
      <w:r w:rsidRPr="00CF22AE">
        <w:rPr>
          <w:rFonts w:ascii="Times New Roman" w:eastAsia="Times New Roman" w:hAnsi="Times New Roman" w:cs="Times New Roman"/>
          <w:b/>
          <w:bCs/>
          <w:sz w:val="28"/>
          <w:szCs w:val="28"/>
        </w:rPr>
        <w:t>ГОРБАЧЕВСЬКОГО</w:t>
      </w:r>
      <w:r w:rsidRPr="00CF22AE">
        <w:rPr>
          <w:rFonts w:ascii="Times New Roman" w:eastAsia="Times New Roman" w:hAnsi="Times New Roman" w:cs="Times New Roman"/>
          <w:b/>
          <w:bCs/>
          <w:spacing w:val="-2"/>
          <w:sz w:val="28"/>
          <w:szCs w:val="28"/>
        </w:rPr>
        <w:t xml:space="preserve"> </w:t>
      </w:r>
      <w:r w:rsidRPr="00CF22AE">
        <w:rPr>
          <w:rFonts w:ascii="Times New Roman" w:eastAsia="Times New Roman" w:hAnsi="Times New Roman" w:cs="Times New Roman"/>
          <w:b/>
          <w:bCs/>
          <w:sz w:val="28"/>
          <w:szCs w:val="28"/>
        </w:rPr>
        <w:t>МОЗ</w:t>
      </w:r>
      <w:r w:rsidRPr="00CF22AE">
        <w:rPr>
          <w:rFonts w:ascii="Times New Roman" w:eastAsia="Times New Roman" w:hAnsi="Times New Roman" w:cs="Times New Roman"/>
          <w:b/>
          <w:bCs/>
          <w:spacing w:val="-2"/>
          <w:sz w:val="28"/>
          <w:szCs w:val="28"/>
        </w:rPr>
        <w:t xml:space="preserve"> </w:t>
      </w:r>
      <w:r w:rsidRPr="00CF22AE">
        <w:rPr>
          <w:rFonts w:ascii="Times New Roman" w:eastAsia="Times New Roman" w:hAnsi="Times New Roman" w:cs="Times New Roman"/>
          <w:b/>
          <w:bCs/>
          <w:sz w:val="28"/>
          <w:szCs w:val="28"/>
        </w:rPr>
        <w:t>УКРАЇНИ</w:t>
      </w:r>
    </w:p>
    <w:p w:rsidR="009440F1" w:rsidRPr="00CF22AE" w:rsidRDefault="009440F1" w:rsidP="009440F1">
      <w:pPr>
        <w:spacing w:after="0" w:line="360" w:lineRule="auto"/>
        <w:jc w:val="center"/>
        <w:rPr>
          <w:rFonts w:ascii="Times New Roman" w:eastAsia="Times New Roman" w:hAnsi="Times New Roman" w:cs="Times New Roman"/>
          <w:b/>
          <w:bCs/>
          <w:sz w:val="28"/>
          <w:szCs w:val="28"/>
        </w:rPr>
      </w:pPr>
    </w:p>
    <w:p w:rsidR="009440F1" w:rsidRPr="00CF22AE" w:rsidRDefault="009440F1" w:rsidP="009440F1">
      <w:pPr>
        <w:widowControl w:val="0"/>
        <w:autoSpaceDE w:val="0"/>
        <w:autoSpaceDN w:val="0"/>
        <w:spacing w:after="0" w:line="360" w:lineRule="auto"/>
        <w:ind w:left="50" w:right="56"/>
        <w:jc w:val="center"/>
        <w:rPr>
          <w:rFonts w:ascii="Times New Roman" w:eastAsia="Times New Roman" w:hAnsi="Times New Roman" w:cs="Times New Roman"/>
          <w:sz w:val="28"/>
          <w:szCs w:val="28"/>
        </w:rPr>
      </w:pPr>
      <w:r w:rsidRPr="00CF22AE">
        <w:rPr>
          <w:rFonts w:ascii="Times New Roman" w:eastAsia="Times New Roman" w:hAnsi="Times New Roman" w:cs="Times New Roman"/>
          <w:spacing w:val="-1"/>
          <w:sz w:val="28"/>
          <w:szCs w:val="28"/>
        </w:rPr>
        <w:t>Фармацевтичний</w:t>
      </w:r>
      <w:r w:rsidRPr="00CF22AE">
        <w:rPr>
          <w:rFonts w:ascii="Times New Roman" w:eastAsia="Times New Roman" w:hAnsi="Times New Roman" w:cs="Times New Roman"/>
          <w:spacing w:val="-16"/>
          <w:sz w:val="28"/>
          <w:szCs w:val="28"/>
        </w:rPr>
        <w:t xml:space="preserve"> </w:t>
      </w:r>
      <w:r w:rsidRPr="00CF22AE">
        <w:rPr>
          <w:rFonts w:ascii="Times New Roman" w:eastAsia="Times New Roman" w:hAnsi="Times New Roman" w:cs="Times New Roman"/>
          <w:sz w:val="28"/>
          <w:szCs w:val="28"/>
        </w:rPr>
        <w:t>факультет</w:t>
      </w:r>
    </w:p>
    <w:p w:rsidR="009440F1" w:rsidRPr="00CF22AE" w:rsidRDefault="009440F1" w:rsidP="009440F1">
      <w:pPr>
        <w:widowControl w:val="0"/>
        <w:tabs>
          <w:tab w:val="left" w:pos="4710"/>
        </w:tabs>
        <w:autoSpaceDE w:val="0"/>
        <w:autoSpaceDN w:val="0"/>
        <w:spacing w:after="0" w:line="360" w:lineRule="auto"/>
        <w:ind w:left="59"/>
        <w:jc w:val="center"/>
        <w:rPr>
          <w:rFonts w:ascii="Times New Roman" w:eastAsia="Times New Roman" w:hAnsi="Times New Roman" w:cs="Times New Roman"/>
          <w:sz w:val="20"/>
          <w:szCs w:val="28"/>
        </w:rPr>
      </w:pPr>
      <w:r w:rsidRPr="00CF22AE">
        <w:rPr>
          <w:rFonts w:ascii="Times New Roman" w:eastAsia="Times New Roman" w:hAnsi="Times New Roman" w:cs="Times New Roman"/>
          <w:sz w:val="28"/>
          <w:szCs w:val="28"/>
        </w:rPr>
        <w:t>Кафедра управління та економіки фармації з технологією ліків</w:t>
      </w:r>
    </w:p>
    <w:p w:rsidR="009440F1" w:rsidRPr="00CF22AE" w:rsidRDefault="009440F1" w:rsidP="009440F1">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b/>
          <w:bCs/>
          <w:sz w:val="28"/>
          <w:szCs w:val="28"/>
        </w:rPr>
      </w:pPr>
    </w:p>
    <w:p w:rsidR="009440F1" w:rsidRPr="00CF22AE" w:rsidRDefault="009440F1" w:rsidP="009440F1">
      <w:pPr>
        <w:widowControl w:val="0"/>
        <w:tabs>
          <w:tab w:val="left" w:pos="9809"/>
        </w:tabs>
        <w:autoSpaceDE w:val="0"/>
        <w:autoSpaceDN w:val="0"/>
        <w:spacing w:after="0" w:line="360" w:lineRule="auto"/>
        <w:ind w:left="6096"/>
        <w:jc w:val="both"/>
        <w:rPr>
          <w:rFonts w:ascii="Times New Roman" w:eastAsia="Times New Roman" w:hAnsi="Times New Roman" w:cs="Times New Roman"/>
          <w:b/>
          <w:bCs/>
          <w:sz w:val="28"/>
          <w:szCs w:val="28"/>
        </w:rPr>
      </w:pPr>
      <w:r w:rsidRPr="00CF22AE">
        <w:rPr>
          <w:rFonts w:ascii="Times New Roman" w:eastAsia="Times New Roman" w:hAnsi="Times New Roman" w:cs="Times New Roman"/>
          <w:b/>
          <w:bCs/>
          <w:sz w:val="28"/>
          <w:szCs w:val="28"/>
        </w:rPr>
        <w:t>ЗАТВЕРДЖУЮ</w:t>
      </w:r>
    </w:p>
    <w:p w:rsidR="009440F1" w:rsidRPr="00CF22AE" w:rsidRDefault="009440F1" w:rsidP="009440F1">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28"/>
          <w:u w:val="single"/>
        </w:rPr>
      </w:pPr>
      <w:r w:rsidRPr="00CF22AE">
        <w:rPr>
          <w:rFonts w:ascii="Times New Roman" w:eastAsia="Times New Roman" w:hAnsi="Times New Roman" w:cs="Times New Roman"/>
          <w:b/>
          <w:sz w:val="28"/>
        </w:rPr>
        <w:t>Завідувач</w:t>
      </w:r>
      <w:r w:rsidRPr="00CF22AE">
        <w:rPr>
          <w:rFonts w:ascii="Times New Roman" w:eastAsia="Times New Roman" w:hAnsi="Times New Roman" w:cs="Times New Roman"/>
          <w:b/>
          <w:spacing w:val="-11"/>
          <w:sz w:val="28"/>
        </w:rPr>
        <w:t xml:space="preserve"> </w:t>
      </w:r>
      <w:r w:rsidRPr="00CF22AE">
        <w:rPr>
          <w:rFonts w:ascii="Times New Roman" w:eastAsia="Times New Roman" w:hAnsi="Times New Roman" w:cs="Times New Roman"/>
          <w:b/>
          <w:sz w:val="28"/>
        </w:rPr>
        <w:t>кафедри</w:t>
      </w:r>
      <w:r w:rsidRPr="00CF22AE">
        <w:rPr>
          <w:rFonts w:ascii="Times New Roman" w:eastAsia="Times New Roman" w:hAnsi="Times New Roman" w:cs="Times New Roman"/>
          <w:b/>
          <w:spacing w:val="-2"/>
          <w:sz w:val="28"/>
        </w:rPr>
        <w:t xml:space="preserve"> </w:t>
      </w:r>
      <w:r w:rsidRPr="00CF22AE">
        <w:rPr>
          <w:rFonts w:ascii="Times New Roman" w:eastAsia="Times New Roman" w:hAnsi="Times New Roman" w:cs="Times New Roman"/>
          <w:sz w:val="28"/>
          <w:u w:val="single"/>
        </w:rPr>
        <w:t xml:space="preserve"> </w:t>
      </w:r>
    </w:p>
    <w:p w:rsidR="009440F1" w:rsidRPr="00CF22AE" w:rsidRDefault="009440F1" w:rsidP="009440F1">
      <w:pPr>
        <w:widowControl w:val="0"/>
        <w:tabs>
          <w:tab w:val="left" w:pos="9809"/>
        </w:tabs>
        <w:autoSpaceDE w:val="0"/>
        <w:autoSpaceDN w:val="0"/>
        <w:spacing w:after="0" w:line="360" w:lineRule="auto"/>
        <w:ind w:left="6319" w:hanging="223"/>
        <w:jc w:val="both"/>
        <w:rPr>
          <w:rFonts w:ascii="Times New Roman" w:eastAsia="Times New Roman" w:hAnsi="Times New Roman" w:cs="Times New Roman"/>
          <w:sz w:val="36"/>
        </w:rPr>
      </w:pPr>
      <w:r w:rsidRPr="00CF22AE">
        <w:rPr>
          <w:rFonts w:ascii="Times New Roman" w:eastAsia="Calibri" w:hAnsi="Times New Roman" w:cs="Times New Roman"/>
          <w:bCs/>
          <w:sz w:val="28"/>
        </w:rPr>
        <w:t xml:space="preserve">Наталія </w:t>
      </w:r>
      <w:r w:rsidR="00B926EB" w:rsidRPr="00CF22AE">
        <w:rPr>
          <w:rFonts w:ascii="Times New Roman" w:eastAsia="Calibri" w:hAnsi="Times New Roman" w:cs="Times New Roman"/>
          <w:bCs/>
          <w:sz w:val="28"/>
        </w:rPr>
        <w:t>Б</w:t>
      </w:r>
      <w:r w:rsidR="00B926EB">
        <w:rPr>
          <w:rFonts w:ascii="Times New Roman" w:eastAsia="Calibri" w:hAnsi="Times New Roman" w:cs="Times New Roman"/>
          <w:bCs/>
          <w:sz w:val="28"/>
        </w:rPr>
        <w:t>ЕЛЕЙ</w:t>
      </w:r>
    </w:p>
    <w:p w:rsidR="009440F1" w:rsidRPr="00CF22AE" w:rsidRDefault="00B926EB" w:rsidP="00B926EB">
      <w:pPr>
        <w:widowControl w:val="0"/>
        <w:tabs>
          <w:tab w:val="left" w:pos="9809"/>
        </w:tabs>
        <w:autoSpaceDE w:val="0"/>
        <w:autoSpaceDN w:val="0"/>
        <w:spacing w:after="0" w:line="240" w:lineRule="auto"/>
        <w:jc w:val="both"/>
        <w:rPr>
          <w:rFonts w:ascii="Times New Roman" w:eastAsia="Times New Roman" w:hAnsi="Times New Roman" w:cs="Times New Roman"/>
          <w:sz w:val="23"/>
          <w:szCs w:val="28"/>
        </w:rPr>
      </w:pPr>
      <w:r>
        <w:rPr>
          <w:rFonts w:ascii="Times New Roman" w:eastAsia="Times New Roman" w:hAnsi="Times New Roman" w:cs="Times New Roman"/>
          <w:sz w:val="23"/>
          <w:szCs w:val="28"/>
        </w:rPr>
        <w:t xml:space="preserve">                                                                                                           </w:t>
      </w:r>
      <w:r w:rsidR="009440F1" w:rsidRPr="00CF22AE">
        <w:rPr>
          <w:rFonts w:ascii="Times New Roman" w:eastAsia="Times New Roman" w:hAnsi="Times New Roman" w:cs="Times New Roman"/>
          <w:sz w:val="23"/>
          <w:szCs w:val="28"/>
        </w:rPr>
        <w:t>____________________</w:t>
      </w:r>
    </w:p>
    <w:p w:rsidR="009440F1" w:rsidRPr="00CF22AE" w:rsidRDefault="00B926EB" w:rsidP="00B926EB">
      <w:pPr>
        <w:widowControl w:val="0"/>
        <w:autoSpaceDE w:val="0"/>
        <w:autoSpaceDN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440F1" w:rsidRPr="00CF22AE">
        <w:rPr>
          <w:rFonts w:ascii="Times New Roman" w:eastAsia="Times New Roman" w:hAnsi="Times New Roman" w:cs="Times New Roman"/>
          <w:sz w:val="28"/>
          <w:szCs w:val="28"/>
        </w:rPr>
        <w:t>Підпис</w:t>
      </w:r>
    </w:p>
    <w:p w:rsidR="009440F1" w:rsidRPr="00CF22AE" w:rsidRDefault="00DB7D0E" w:rsidP="00B926EB">
      <w:pPr>
        <w:spacing w:after="0" w:line="240" w:lineRule="auto"/>
        <w:jc w:val="center"/>
        <w:rPr>
          <w:rFonts w:ascii="Times New Roman" w:eastAsia="Calibri" w:hAnsi="Times New Roman" w:cs="Times New Roman"/>
          <w:sz w:val="28"/>
        </w:rPr>
      </w:pPr>
      <w:r>
        <w:rPr>
          <w:rFonts w:ascii="Times New Roman" w:eastAsia="Calibri" w:hAnsi="Times New Roman" w:cs="Times New Roman"/>
          <w:sz w:val="28"/>
        </w:rPr>
        <w:t xml:space="preserve">                                                                               </w:t>
      </w:r>
      <w:r w:rsidR="009440F1" w:rsidRPr="00CF22AE">
        <w:rPr>
          <w:rFonts w:ascii="Times New Roman" w:eastAsia="Calibri" w:hAnsi="Times New Roman" w:cs="Times New Roman"/>
          <w:sz w:val="28"/>
        </w:rPr>
        <w:t>«___»__________</w:t>
      </w:r>
      <w:r w:rsidR="009440F1" w:rsidRPr="00CF22AE">
        <w:rPr>
          <w:rFonts w:ascii="Times New Roman" w:eastAsia="Calibri" w:hAnsi="Times New Roman" w:cs="Times New Roman"/>
          <w:b/>
          <w:sz w:val="28"/>
        </w:rPr>
        <w:t>2024 р</w:t>
      </w:r>
      <w:r w:rsidR="009440F1" w:rsidRPr="00CF22AE">
        <w:rPr>
          <w:rFonts w:ascii="Times New Roman" w:eastAsia="Calibri" w:hAnsi="Times New Roman" w:cs="Times New Roman"/>
          <w:sz w:val="28"/>
        </w:rPr>
        <w:t>.</w:t>
      </w:r>
    </w:p>
    <w:p w:rsidR="009440F1" w:rsidRPr="00CF22AE" w:rsidRDefault="009440F1" w:rsidP="009440F1">
      <w:pPr>
        <w:widowControl w:val="0"/>
        <w:autoSpaceDE w:val="0"/>
        <w:autoSpaceDN w:val="0"/>
        <w:spacing w:after="0" w:line="360" w:lineRule="auto"/>
        <w:ind w:left="222"/>
        <w:jc w:val="both"/>
        <w:rPr>
          <w:rFonts w:ascii="Times New Roman" w:eastAsia="Times New Roman" w:hAnsi="Times New Roman" w:cs="Times New Roman"/>
          <w:b/>
          <w:sz w:val="28"/>
        </w:rPr>
      </w:pPr>
    </w:p>
    <w:p w:rsidR="009440F1" w:rsidRPr="00CF22AE" w:rsidRDefault="009440F1" w:rsidP="009440F1">
      <w:pPr>
        <w:widowControl w:val="0"/>
        <w:autoSpaceDE w:val="0"/>
        <w:autoSpaceDN w:val="0"/>
        <w:spacing w:after="0" w:line="360" w:lineRule="auto"/>
        <w:ind w:left="222"/>
        <w:jc w:val="both"/>
        <w:rPr>
          <w:rFonts w:ascii="Times New Roman" w:eastAsia="Times New Roman" w:hAnsi="Times New Roman" w:cs="Times New Roman"/>
          <w:b/>
          <w:sz w:val="28"/>
        </w:rPr>
      </w:pPr>
      <w:r w:rsidRPr="00CF22AE">
        <w:rPr>
          <w:rFonts w:ascii="Times New Roman" w:eastAsia="Times New Roman" w:hAnsi="Times New Roman" w:cs="Times New Roman"/>
          <w:b/>
          <w:sz w:val="28"/>
        </w:rPr>
        <w:t>Індекс</w:t>
      </w:r>
      <w:r w:rsidRPr="00CF22AE">
        <w:rPr>
          <w:rFonts w:ascii="Times New Roman" w:eastAsia="Times New Roman" w:hAnsi="Times New Roman" w:cs="Times New Roman"/>
          <w:spacing w:val="-17"/>
          <w:sz w:val="28"/>
        </w:rPr>
        <w:t xml:space="preserve"> </w:t>
      </w:r>
      <w:r w:rsidRPr="00CF22AE">
        <w:rPr>
          <w:rFonts w:ascii="Times New Roman" w:eastAsia="Times New Roman" w:hAnsi="Times New Roman" w:cs="Times New Roman"/>
          <w:b/>
          <w:sz w:val="28"/>
        </w:rPr>
        <w:t xml:space="preserve">УДК: </w:t>
      </w:r>
      <w:r w:rsidR="00310E4E" w:rsidRPr="00CF22AE">
        <w:rPr>
          <w:rFonts w:ascii="Times New Roman" w:hAnsi="Times New Roman" w:cs="Times New Roman"/>
          <w:sz w:val="28"/>
          <w:szCs w:val="28"/>
        </w:rPr>
        <w:t>615.014.2:615.453.3</w:t>
      </w:r>
      <w:r w:rsidRPr="00CF22AE">
        <w:rPr>
          <w:rFonts w:ascii="Times New Roman" w:hAnsi="Times New Roman" w:cs="Times New Roman"/>
          <w:sz w:val="28"/>
          <w:szCs w:val="28"/>
        </w:rPr>
        <w:t>:</w:t>
      </w:r>
      <w:r w:rsidR="00310E4E" w:rsidRPr="00CF22AE">
        <w:rPr>
          <w:rFonts w:ascii="Times New Roman" w:hAnsi="Times New Roman" w:cs="Times New Roman"/>
          <w:sz w:val="28"/>
          <w:szCs w:val="28"/>
        </w:rPr>
        <w:t>651.322</w:t>
      </w:r>
      <w:r w:rsidRPr="00CF22AE">
        <w:rPr>
          <w:rFonts w:ascii="Times New Roman" w:hAnsi="Times New Roman" w:cs="Times New Roman"/>
          <w:sz w:val="28"/>
          <w:szCs w:val="28"/>
        </w:rPr>
        <w:t>:582.546.1</w:t>
      </w:r>
    </w:p>
    <w:p w:rsidR="009440F1" w:rsidRPr="00CF22AE" w:rsidRDefault="009440F1" w:rsidP="009440F1">
      <w:pPr>
        <w:widowControl w:val="0"/>
        <w:autoSpaceDE w:val="0"/>
        <w:autoSpaceDN w:val="0"/>
        <w:spacing w:after="0" w:line="360" w:lineRule="auto"/>
        <w:ind w:left="222"/>
        <w:jc w:val="both"/>
        <w:rPr>
          <w:rFonts w:ascii="Times New Roman" w:eastAsia="Times New Roman" w:hAnsi="Times New Roman" w:cs="Times New Roman"/>
          <w:b/>
          <w:sz w:val="28"/>
        </w:rPr>
      </w:pPr>
    </w:p>
    <w:p w:rsidR="009440F1" w:rsidRPr="00CF22AE" w:rsidRDefault="00FC2A18" w:rsidP="009440F1">
      <w:pPr>
        <w:widowControl w:val="0"/>
        <w:autoSpaceDE w:val="0"/>
        <w:autoSpaceDN w:val="0"/>
        <w:spacing w:after="0" w:line="360" w:lineRule="auto"/>
        <w:ind w:left="53" w:right="56"/>
        <w:jc w:val="center"/>
        <w:rPr>
          <w:rFonts w:ascii="Times New Roman" w:eastAsia="Times New Roman" w:hAnsi="Times New Roman" w:cs="Times New Roman"/>
          <w:b/>
          <w:sz w:val="36"/>
        </w:rPr>
      </w:pPr>
      <w:r w:rsidRPr="00CF22AE">
        <w:rPr>
          <w:rFonts w:ascii="Times New Roman" w:eastAsia="Times New Roman" w:hAnsi="Times New Roman" w:cs="Times New Roman"/>
          <w:b/>
          <w:sz w:val="36"/>
        </w:rPr>
        <w:t xml:space="preserve">КВАЛІФІКАЦІЙНА </w:t>
      </w:r>
      <w:r w:rsidR="009440F1" w:rsidRPr="00CF22AE">
        <w:rPr>
          <w:rFonts w:ascii="Times New Roman" w:eastAsia="Times New Roman" w:hAnsi="Times New Roman" w:cs="Times New Roman"/>
          <w:b/>
          <w:sz w:val="36"/>
        </w:rPr>
        <w:t>РОБОТА</w:t>
      </w:r>
    </w:p>
    <w:p w:rsidR="009440F1" w:rsidRPr="00CF22AE" w:rsidRDefault="009440F1" w:rsidP="009440F1">
      <w:pPr>
        <w:widowControl w:val="0"/>
        <w:autoSpaceDE w:val="0"/>
        <w:autoSpaceDN w:val="0"/>
        <w:spacing w:after="0" w:line="360" w:lineRule="auto"/>
        <w:jc w:val="both"/>
        <w:rPr>
          <w:rFonts w:ascii="Times New Roman" w:eastAsia="Times New Roman" w:hAnsi="Times New Roman" w:cs="Times New Roman"/>
          <w:b/>
          <w:sz w:val="20"/>
          <w:szCs w:val="28"/>
        </w:rPr>
      </w:pPr>
    </w:p>
    <w:p w:rsidR="009440F1" w:rsidRPr="00CF22AE" w:rsidRDefault="009440F1" w:rsidP="009440F1">
      <w:pPr>
        <w:widowControl w:val="0"/>
        <w:autoSpaceDE w:val="0"/>
        <w:autoSpaceDN w:val="0"/>
        <w:spacing w:after="0" w:line="360" w:lineRule="auto"/>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w:t>
      </w:r>
      <w:r w:rsidRPr="00CF22AE">
        <w:rPr>
          <w:rFonts w:ascii="Times New Roman" w:eastAsia="Times New Roman" w:hAnsi="Times New Roman" w:cs="Times New Roman"/>
          <w:spacing w:val="-4"/>
          <w:sz w:val="28"/>
          <w:szCs w:val="28"/>
        </w:rPr>
        <w:t xml:space="preserve"> </w:t>
      </w:r>
      <w:r w:rsidRPr="00CF22AE">
        <w:rPr>
          <w:rFonts w:ascii="Times New Roman" w:eastAsia="Times New Roman" w:hAnsi="Times New Roman" w:cs="Times New Roman"/>
          <w:sz w:val="28"/>
          <w:szCs w:val="28"/>
        </w:rPr>
        <w:t>тему:</w:t>
      </w:r>
    </w:p>
    <w:p w:rsidR="00995F48" w:rsidRPr="00CF22AE" w:rsidRDefault="009440F1" w:rsidP="00425A08">
      <w:pPr>
        <w:widowControl w:val="0"/>
        <w:autoSpaceDE w:val="0"/>
        <w:autoSpaceDN w:val="0"/>
        <w:spacing w:after="0" w:line="360" w:lineRule="auto"/>
        <w:jc w:val="center"/>
        <w:rPr>
          <w:rFonts w:ascii="Times New Roman" w:eastAsia="Times New Roman" w:hAnsi="Times New Roman" w:cs="Times New Roman"/>
          <w:b/>
          <w:sz w:val="28"/>
          <w:szCs w:val="28"/>
        </w:rPr>
      </w:pPr>
      <w:r w:rsidRPr="00CF22AE">
        <w:rPr>
          <w:rFonts w:ascii="Times New Roman" w:eastAsia="Times New Roman" w:hAnsi="Times New Roman" w:cs="Times New Roman"/>
          <w:sz w:val="28"/>
          <w:szCs w:val="28"/>
        </w:rPr>
        <w:t xml:space="preserve"> </w:t>
      </w:r>
      <w:r w:rsidRPr="00CF22AE">
        <w:rPr>
          <w:rFonts w:ascii="Times New Roman" w:eastAsia="Times New Roman" w:hAnsi="Times New Roman" w:cs="Times New Roman"/>
          <w:b/>
          <w:sz w:val="28"/>
          <w:szCs w:val="28"/>
        </w:rPr>
        <w:t>«</w:t>
      </w:r>
      <w:r w:rsidR="00995F48" w:rsidRPr="00CF22AE">
        <w:rPr>
          <w:rFonts w:ascii="Times New Roman" w:hAnsi="Times New Roman" w:cs="Times New Roman"/>
          <w:b/>
          <w:sz w:val="28"/>
          <w:szCs w:val="28"/>
        </w:rPr>
        <w:t>РОЗРОБКА СКЛАДУ ДОПОМІЖНИХ РЕЧОВИН ГРАНУЛ НА ОСНОВІ ФІТОСУБСТАНЦІЇ</w:t>
      </w:r>
      <w:r w:rsidR="00977A2E" w:rsidRPr="00977A2E">
        <w:rPr>
          <w:rFonts w:ascii="Times New Roman" w:hAnsi="Times New Roman" w:cs="Times New Roman"/>
          <w:b/>
          <w:sz w:val="28"/>
          <w:szCs w:val="28"/>
          <w:lang w:val="ru-RU"/>
        </w:rPr>
        <w:t xml:space="preserve"> </w:t>
      </w:r>
      <w:r w:rsidR="00995F48" w:rsidRPr="00CF22AE">
        <w:rPr>
          <w:rFonts w:ascii="Times New Roman" w:hAnsi="Times New Roman" w:cs="Times New Roman"/>
          <w:b/>
          <w:sz w:val="28"/>
          <w:szCs w:val="28"/>
        </w:rPr>
        <w:t>ПИРІЮ ПОВЗУЧОГО</w:t>
      </w:r>
      <w:r w:rsidRPr="00CF22AE">
        <w:rPr>
          <w:rFonts w:ascii="Times New Roman" w:eastAsia="Times New Roman" w:hAnsi="Times New Roman" w:cs="Times New Roman"/>
          <w:b/>
          <w:sz w:val="28"/>
          <w:szCs w:val="28"/>
        </w:rPr>
        <w:t>»</w:t>
      </w:r>
    </w:p>
    <w:p w:rsidR="00995F48" w:rsidRPr="00CF22AE" w:rsidRDefault="00995F48" w:rsidP="009440F1">
      <w:pPr>
        <w:widowControl w:val="0"/>
        <w:tabs>
          <w:tab w:val="left" w:pos="4356"/>
        </w:tabs>
        <w:autoSpaceDE w:val="0"/>
        <w:autoSpaceDN w:val="0"/>
        <w:spacing w:after="0" w:line="240" w:lineRule="auto"/>
        <w:jc w:val="both"/>
        <w:rPr>
          <w:rFonts w:ascii="Times New Roman" w:eastAsia="Times New Roman" w:hAnsi="Times New Roman" w:cs="Times New Roman"/>
          <w:sz w:val="28"/>
          <w:szCs w:val="28"/>
        </w:rPr>
      </w:pPr>
    </w:p>
    <w:p w:rsidR="00995F48" w:rsidRPr="00CF22AE" w:rsidRDefault="00995F48" w:rsidP="009440F1">
      <w:pPr>
        <w:widowControl w:val="0"/>
        <w:tabs>
          <w:tab w:val="left" w:pos="4356"/>
        </w:tabs>
        <w:autoSpaceDE w:val="0"/>
        <w:autoSpaceDN w:val="0"/>
        <w:spacing w:after="0" w:line="240" w:lineRule="auto"/>
        <w:jc w:val="both"/>
        <w:rPr>
          <w:rFonts w:ascii="Times New Roman" w:eastAsia="Times New Roman" w:hAnsi="Times New Roman" w:cs="Times New Roman"/>
          <w:sz w:val="28"/>
          <w:szCs w:val="28"/>
        </w:rPr>
      </w:pPr>
    </w:p>
    <w:p w:rsidR="009440F1" w:rsidRPr="00CF22AE" w:rsidRDefault="009440F1" w:rsidP="009440F1">
      <w:pPr>
        <w:widowControl w:val="0"/>
        <w:tabs>
          <w:tab w:val="left" w:pos="4356"/>
        </w:tabs>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Виконала</w:t>
      </w:r>
      <w:r w:rsidRPr="00CF22AE">
        <w:rPr>
          <w:rFonts w:ascii="Times New Roman" w:eastAsia="Times New Roman" w:hAnsi="Times New Roman" w:cs="Times New Roman"/>
          <w:spacing w:val="-15"/>
          <w:sz w:val="28"/>
          <w:szCs w:val="28"/>
        </w:rPr>
        <w:t xml:space="preserve"> </w:t>
      </w:r>
      <w:r w:rsidR="0028102A">
        <w:rPr>
          <w:rFonts w:ascii="Times New Roman" w:eastAsia="Times New Roman" w:hAnsi="Times New Roman" w:cs="Times New Roman"/>
          <w:sz w:val="28"/>
          <w:szCs w:val="28"/>
        </w:rPr>
        <w:t xml:space="preserve">студентка </w:t>
      </w:r>
      <w:r w:rsidR="0028102A">
        <w:rPr>
          <w:rFonts w:ascii="Times New Roman" w:eastAsia="Times New Roman" w:hAnsi="Times New Roman" w:cs="Times New Roman"/>
          <w:sz w:val="28"/>
          <w:szCs w:val="28"/>
          <w:lang w:val="en-US"/>
        </w:rPr>
        <w:t>V</w:t>
      </w:r>
      <w:r w:rsidRPr="00CF22AE">
        <w:rPr>
          <w:rFonts w:ascii="Times New Roman" w:eastAsia="Times New Roman" w:hAnsi="Times New Roman" w:cs="Times New Roman"/>
          <w:sz w:val="28"/>
          <w:szCs w:val="28"/>
        </w:rPr>
        <w:t xml:space="preserve"> курсу</w:t>
      </w:r>
    </w:p>
    <w:p w:rsidR="009440F1" w:rsidRPr="00CF22AE" w:rsidRDefault="009440F1" w:rsidP="009440F1">
      <w:pPr>
        <w:widowControl w:val="0"/>
        <w:tabs>
          <w:tab w:val="left" w:pos="2394"/>
        </w:tabs>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денної форми</w:t>
      </w:r>
      <w:r w:rsidRPr="00CF22AE">
        <w:rPr>
          <w:rFonts w:ascii="Times New Roman" w:eastAsia="Times New Roman" w:hAnsi="Times New Roman" w:cs="Times New Roman"/>
          <w:spacing w:val="-9"/>
          <w:sz w:val="28"/>
          <w:szCs w:val="28"/>
        </w:rPr>
        <w:t xml:space="preserve"> </w:t>
      </w:r>
      <w:r w:rsidRPr="00CF22AE">
        <w:rPr>
          <w:rFonts w:ascii="Times New Roman" w:eastAsia="Times New Roman" w:hAnsi="Times New Roman" w:cs="Times New Roman"/>
          <w:sz w:val="28"/>
          <w:szCs w:val="28"/>
        </w:rPr>
        <w:t>навчання</w:t>
      </w:r>
    </w:p>
    <w:p w:rsidR="009440F1" w:rsidRPr="00CF22AE" w:rsidRDefault="009440F1" w:rsidP="009440F1">
      <w:pPr>
        <w:widowControl w:val="0"/>
        <w:tabs>
          <w:tab w:val="left" w:pos="6205"/>
        </w:tabs>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спеціальності</w:t>
      </w:r>
      <w:r w:rsidRPr="00CF22AE">
        <w:rPr>
          <w:rFonts w:ascii="Times New Roman" w:eastAsia="Times New Roman" w:hAnsi="Times New Roman" w:cs="Times New Roman"/>
          <w:spacing w:val="-2"/>
          <w:sz w:val="28"/>
          <w:szCs w:val="28"/>
        </w:rPr>
        <w:t xml:space="preserve"> </w:t>
      </w:r>
      <w:r w:rsidR="0028102A">
        <w:rPr>
          <w:rFonts w:ascii="Times New Roman" w:eastAsia="Times New Roman" w:hAnsi="Times New Roman" w:cs="Times New Roman"/>
          <w:spacing w:val="-2"/>
          <w:sz w:val="28"/>
          <w:szCs w:val="28"/>
        </w:rPr>
        <w:t xml:space="preserve">226 </w:t>
      </w:r>
      <w:r w:rsidRPr="00CF22AE">
        <w:rPr>
          <w:rFonts w:ascii="Times New Roman" w:eastAsia="Times New Roman" w:hAnsi="Times New Roman" w:cs="Times New Roman"/>
          <w:spacing w:val="-2"/>
          <w:sz w:val="28"/>
          <w:szCs w:val="28"/>
        </w:rPr>
        <w:t>«Фармація, промислова фармація»</w:t>
      </w:r>
    </w:p>
    <w:p w:rsidR="00536402"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Ірина</w:t>
      </w:r>
      <w:r w:rsidR="00DB7D0E">
        <w:rPr>
          <w:rFonts w:ascii="Times New Roman" w:eastAsia="Times New Roman" w:hAnsi="Times New Roman" w:cs="Times New Roman"/>
          <w:sz w:val="28"/>
          <w:szCs w:val="28"/>
        </w:rPr>
        <w:t xml:space="preserve"> БАЗЮК</w:t>
      </w:r>
    </w:p>
    <w:p w:rsidR="00536402" w:rsidRDefault="00536402" w:rsidP="009440F1">
      <w:pPr>
        <w:widowControl w:val="0"/>
        <w:autoSpaceDE w:val="0"/>
        <w:autoSpaceDN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 </w:t>
      </w:r>
    </w:p>
    <w:p w:rsidR="009440F1" w:rsidRPr="00CF22AE"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Підпис</w:t>
      </w:r>
      <w:r w:rsidRPr="00CF22AE">
        <w:rPr>
          <w:rFonts w:ascii="Times New Roman" w:eastAsia="Times New Roman" w:hAnsi="Times New Roman" w:cs="Times New Roman"/>
          <w:spacing w:val="-1"/>
          <w:sz w:val="28"/>
          <w:szCs w:val="28"/>
        </w:rPr>
        <w:t xml:space="preserve"> </w:t>
      </w:r>
    </w:p>
    <w:p w:rsidR="009440F1" w:rsidRPr="00CF22AE" w:rsidRDefault="009440F1" w:rsidP="009440F1">
      <w:pPr>
        <w:widowControl w:val="0"/>
        <w:autoSpaceDE w:val="0"/>
        <w:autoSpaceDN w:val="0"/>
        <w:spacing w:after="0" w:line="240" w:lineRule="auto"/>
        <w:jc w:val="both"/>
        <w:rPr>
          <w:rFonts w:ascii="Times New Roman" w:eastAsia="Times New Roman" w:hAnsi="Times New Roman" w:cs="Times New Roman"/>
          <w:spacing w:val="-1"/>
          <w:sz w:val="28"/>
          <w:szCs w:val="28"/>
        </w:rPr>
      </w:pPr>
    </w:p>
    <w:p w:rsidR="00DB7D0E"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pacing w:val="-1"/>
          <w:sz w:val="28"/>
          <w:szCs w:val="28"/>
        </w:rPr>
        <w:t>Науковий</w:t>
      </w:r>
      <w:r w:rsidRPr="00CF22AE">
        <w:rPr>
          <w:rFonts w:ascii="Times New Roman" w:eastAsia="Times New Roman" w:hAnsi="Times New Roman" w:cs="Times New Roman"/>
          <w:spacing w:val="-16"/>
          <w:sz w:val="28"/>
          <w:szCs w:val="28"/>
        </w:rPr>
        <w:t xml:space="preserve"> </w:t>
      </w:r>
      <w:r w:rsidRPr="00CF22AE">
        <w:rPr>
          <w:rFonts w:ascii="Times New Roman" w:eastAsia="Times New Roman" w:hAnsi="Times New Roman" w:cs="Times New Roman"/>
          <w:sz w:val="28"/>
          <w:szCs w:val="28"/>
        </w:rPr>
        <w:t>керівник:</w:t>
      </w:r>
    </w:p>
    <w:p w:rsidR="00536402"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 к. фарм. н., доц. </w:t>
      </w:r>
    </w:p>
    <w:p w:rsidR="00536402"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Мар’яна </w:t>
      </w:r>
      <w:r w:rsidR="00DB7D0E">
        <w:rPr>
          <w:rFonts w:ascii="Times New Roman" w:eastAsia="Times New Roman" w:hAnsi="Times New Roman" w:cs="Times New Roman"/>
          <w:sz w:val="28"/>
          <w:szCs w:val="28"/>
        </w:rPr>
        <w:t>ВАСЕНДА</w:t>
      </w:r>
    </w:p>
    <w:p w:rsidR="00DB7D0E" w:rsidRDefault="009440F1" w:rsidP="009440F1">
      <w:pPr>
        <w:widowControl w:val="0"/>
        <w:autoSpaceDE w:val="0"/>
        <w:autoSpaceDN w:val="0"/>
        <w:spacing w:after="0" w:line="24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__________</w:t>
      </w:r>
      <w:r w:rsidR="00DB7D0E">
        <w:rPr>
          <w:rFonts w:ascii="Times New Roman" w:eastAsia="Times New Roman" w:hAnsi="Times New Roman" w:cs="Times New Roman"/>
          <w:sz w:val="28"/>
          <w:szCs w:val="28"/>
        </w:rPr>
        <w:t xml:space="preserve">  </w:t>
      </w:r>
    </w:p>
    <w:p w:rsidR="009440F1" w:rsidRPr="00DB7D0E" w:rsidRDefault="00536402" w:rsidP="009440F1">
      <w:pPr>
        <w:widowControl w:val="0"/>
        <w:autoSpaceDE w:val="0"/>
        <w:autoSpaceDN w:val="0"/>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9440F1" w:rsidRPr="00CF22AE">
        <w:rPr>
          <w:rFonts w:ascii="Times New Roman" w:eastAsia="Times New Roman" w:hAnsi="Times New Roman" w:cs="Times New Roman"/>
          <w:sz w:val="28"/>
          <w:szCs w:val="28"/>
        </w:rPr>
        <w:t>Підпис</w:t>
      </w:r>
      <w:r w:rsidR="009440F1" w:rsidRPr="00CF22AE">
        <w:rPr>
          <w:rFonts w:ascii="Times New Roman" w:eastAsia="Times New Roman" w:hAnsi="Times New Roman" w:cs="Times New Roman"/>
          <w:spacing w:val="-5"/>
          <w:sz w:val="28"/>
          <w:szCs w:val="28"/>
        </w:rPr>
        <w:t xml:space="preserve"> </w:t>
      </w:r>
    </w:p>
    <w:p w:rsidR="009440F1" w:rsidRPr="00CF22AE" w:rsidRDefault="009440F1" w:rsidP="00536402">
      <w:pPr>
        <w:spacing w:after="0" w:line="360" w:lineRule="auto"/>
        <w:jc w:val="center"/>
        <w:rPr>
          <w:rFonts w:ascii="Times New Roman" w:eastAsia="Times New Roman" w:hAnsi="Times New Roman" w:cs="Times New Roman"/>
          <w:b/>
          <w:spacing w:val="-3"/>
          <w:sz w:val="28"/>
        </w:rPr>
      </w:pPr>
      <w:r w:rsidRPr="00CF22AE">
        <w:rPr>
          <w:rFonts w:ascii="Times New Roman" w:eastAsia="Times New Roman" w:hAnsi="Times New Roman" w:cs="Times New Roman"/>
          <w:b/>
          <w:sz w:val="28"/>
        </w:rPr>
        <w:t>ТЕРНОПІЛЬ –</w:t>
      </w:r>
      <w:r w:rsidRPr="00CF22AE">
        <w:rPr>
          <w:rFonts w:ascii="Times New Roman" w:eastAsia="Times New Roman" w:hAnsi="Times New Roman" w:cs="Times New Roman"/>
          <w:b/>
          <w:spacing w:val="-5"/>
          <w:sz w:val="28"/>
        </w:rPr>
        <w:t xml:space="preserve"> </w:t>
      </w:r>
      <w:r w:rsidRPr="00CF22AE">
        <w:rPr>
          <w:rFonts w:ascii="Times New Roman" w:eastAsia="Times New Roman" w:hAnsi="Times New Roman" w:cs="Times New Roman"/>
          <w:b/>
          <w:sz w:val="28"/>
        </w:rPr>
        <w:t>202</w:t>
      </w:r>
      <w:r w:rsidRPr="00CF22AE">
        <w:rPr>
          <w:rFonts w:ascii="Times New Roman" w:eastAsia="Times New Roman" w:hAnsi="Times New Roman" w:cs="Times New Roman"/>
          <w:b/>
          <w:spacing w:val="-3"/>
          <w:sz w:val="28"/>
        </w:rPr>
        <w:t>4</w:t>
      </w:r>
    </w:p>
    <w:p w:rsidR="00305862" w:rsidRPr="00CF22AE" w:rsidRDefault="00305862" w:rsidP="009440F1">
      <w:pPr>
        <w:autoSpaceDE w:val="0"/>
        <w:autoSpaceDN w:val="0"/>
        <w:spacing w:after="0" w:line="360" w:lineRule="auto"/>
        <w:jc w:val="center"/>
        <w:rPr>
          <w:rFonts w:ascii="Times New Roman" w:eastAsia="Times New Roman" w:hAnsi="Times New Roman" w:cs="Times New Roman"/>
          <w:sz w:val="28"/>
          <w:szCs w:val="28"/>
          <w:lang w:eastAsia="uk-UA"/>
        </w:rPr>
      </w:pPr>
    </w:p>
    <w:p w:rsidR="009440F1" w:rsidRPr="00CF22AE" w:rsidRDefault="009440F1" w:rsidP="009440F1">
      <w:pPr>
        <w:autoSpaceDE w:val="0"/>
        <w:autoSpaceDN w:val="0"/>
        <w:spacing w:after="0" w:line="360" w:lineRule="auto"/>
        <w:jc w:val="center"/>
        <w:rPr>
          <w:rFonts w:ascii="Times New Roman" w:eastAsia="Times New Roman" w:hAnsi="Times New Roman" w:cs="Times New Roman"/>
          <w:sz w:val="28"/>
          <w:szCs w:val="28"/>
          <w:lang w:eastAsia="uk-UA"/>
        </w:rPr>
      </w:pPr>
      <w:bookmarkStart w:id="0" w:name="_GoBack"/>
      <w:bookmarkEnd w:id="0"/>
      <w:r w:rsidRPr="00CF22AE">
        <w:rPr>
          <w:rFonts w:ascii="Times New Roman" w:eastAsia="Times New Roman" w:hAnsi="Times New Roman" w:cs="Times New Roman"/>
          <w:sz w:val="28"/>
          <w:szCs w:val="28"/>
          <w:lang w:eastAsia="uk-UA"/>
        </w:rPr>
        <w:t>ЗМІСТ</w:t>
      </w:r>
    </w:p>
    <w:p w:rsidR="009440F1" w:rsidRPr="00CF22AE" w:rsidRDefault="009440F1"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ПЕРЕЛІК УМОВНИХ СКОРОЧЕНЬ………………………………</w:t>
      </w:r>
      <w:r w:rsidR="00775244">
        <w:rPr>
          <w:rFonts w:ascii="Times New Roman" w:eastAsia="Times New Roman" w:hAnsi="Times New Roman" w:cs="Times New Roman"/>
          <w:sz w:val="28"/>
          <w:szCs w:val="28"/>
          <w:lang w:eastAsia="uk-UA"/>
        </w:rPr>
        <w:t>..</w:t>
      </w:r>
      <w:r w:rsidRPr="00CF22AE">
        <w:rPr>
          <w:rFonts w:ascii="Times New Roman" w:eastAsia="Times New Roman" w:hAnsi="Times New Roman" w:cs="Times New Roman"/>
          <w:sz w:val="28"/>
          <w:szCs w:val="28"/>
          <w:lang w:eastAsia="uk-UA"/>
        </w:rPr>
        <w:t>…………….</w:t>
      </w:r>
      <w:r w:rsidR="00775244">
        <w:rPr>
          <w:rFonts w:ascii="Times New Roman" w:eastAsia="Times New Roman" w:hAnsi="Times New Roman" w:cs="Times New Roman"/>
          <w:sz w:val="28"/>
          <w:szCs w:val="28"/>
          <w:lang w:eastAsia="uk-UA"/>
        </w:rPr>
        <w:t>3</w:t>
      </w:r>
    </w:p>
    <w:p w:rsidR="009440F1" w:rsidRPr="00CF22AE" w:rsidRDefault="009440F1"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ВСТУП………………………………………………………………………………</w:t>
      </w:r>
      <w:r w:rsidR="00775244">
        <w:rPr>
          <w:rFonts w:ascii="Times New Roman" w:eastAsia="Times New Roman" w:hAnsi="Times New Roman" w:cs="Times New Roman"/>
          <w:sz w:val="28"/>
          <w:szCs w:val="28"/>
          <w:lang w:eastAsia="uk-UA"/>
        </w:rPr>
        <w:t>4</w:t>
      </w:r>
    </w:p>
    <w:p w:rsidR="00C72AA3" w:rsidRPr="00CF22AE" w:rsidRDefault="009440F1" w:rsidP="00AE6757">
      <w:pPr>
        <w:autoSpaceDE w:val="0"/>
        <w:autoSpaceDN w:val="0"/>
        <w:adjustRightInd w:val="0"/>
        <w:spacing w:after="0" w:line="360" w:lineRule="auto"/>
        <w:jc w:val="both"/>
        <w:rPr>
          <w:rFonts w:ascii="Times New Roman" w:eastAsia="Times New Roman" w:hAnsi="Times New Roman" w:cs="Times New Roman"/>
          <w:bCs/>
          <w:sz w:val="28"/>
          <w:szCs w:val="28"/>
          <w:lang w:eastAsia="ru-RU"/>
        </w:rPr>
      </w:pPr>
      <w:r w:rsidRPr="00CF22AE">
        <w:rPr>
          <w:rFonts w:ascii="Times New Roman" w:eastAsia="Times New Roman" w:hAnsi="Times New Roman" w:cs="Times New Roman"/>
          <w:sz w:val="28"/>
          <w:szCs w:val="28"/>
          <w:lang w:eastAsia="uk-UA"/>
        </w:rPr>
        <w:t xml:space="preserve">РОЗДІЛ 1. </w:t>
      </w:r>
      <w:r w:rsidRPr="00CF22AE">
        <w:rPr>
          <w:rFonts w:ascii="Times New Roman" w:eastAsia="Times New Roman" w:hAnsi="Times New Roman" w:cs="Times New Roman"/>
          <w:bCs/>
          <w:sz w:val="28"/>
          <w:szCs w:val="28"/>
          <w:lang w:eastAsia="ru-RU"/>
        </w:rPr>
        <w:t>СУЧАСНИЙ СТАН СТВОРЕННЯ ТА ДОСЛІДЖЕННЯ ЛІКАРСЬКИХ ЗАСОБІВ НА ОСНОВІ ЛІКАРСЬКОЇ РОСЛИННОЇ СИРОВИНИ З ГЕПАТОПРОТЕКТОРНОЮ АКТИВНІСТЮ</w:t>
      </w:r>
      <w:r w:rsidR="009D543F">
        <w:rPr>
          <w:rFonts w:ascii="Times New Roman" w:eastAsia="Times New Roman" w:hAnsi="Times New Roman" w:cs="Times New Roman"/>
          <w:bCs/>
          <w:sz w:val="28"/>
          <w:szCs w:val="28"/>
          <w:lang w:eastAsia="ru-RU"/>
        </w:rPr>
        <w:t>…………</w:t>
      </w:r>
      <w:r w:rsidR="00775244">
        <w:rPr>
          <w:rFonts w:ascii="Times New Roman" w:eastAsia="Times New Roman" w:hAnsi="Times New Roman" w:cs="Times New Roman"/>
          <w:bCs/>
          <w:sz w:val="28"/>
          <w:szCs w:val="28"/>
          <w:lang w:eastAsia="ru-RU"/>
        </w:rPr>
        <w:t>..</w:t>
      </w:r>
      <w:r w:rsidR="009D543F">
        <w:rPr>
          <w:rFonts w:ascii="Times New Roman" w:eastAsia="Times New Roman" w:hAnsi="Times New Roman" w:cs="Times New Roman"/>
          <w:bCs/>
          <w:sz w:val="28"/>
          <w:szCs w:val="28"/>
          <w:lang w:eastAsia="ru-RU"/>
        </w:rPr>
        <w:t>……….</w:t>
      </w:r>
      <w:r w:rsidR="00775244">
        <w:rPr>
          <w:rFonts w:ascii="Times New Roman" w:eastAsia="Times New Roman" w:hAnsi="Times New Roman" w:cs="Times New Roman"/>
          <w:bCs/>
          <w:sz w:val="28"/>
          <w:szCs w:val="28"/>
          <w:lang w:eastAsia="ru-RU"/>
        </w:rPr>
        <w:t>6</w:t>
      </w:r>
    </w:p>
    <w:p w:rsidR="00AE6757" w:rsidRPr="00CF22AE" w:rsidRDefault="00AE6757" w:rsidP="00AE6757">
      <w:pPr>
        <w:numPr>
          <w:ilvl w:val="1"/>
          <w:numId w:val="1"/>
        </w:num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ru-RU"/>
        </w:rPr>
        <w:t>Загальний стан проблеми захворювань печінки та підходи до лікування</w:t>
      </w:r>
      <w:r w:rsidR="00775244">
        <w:rPr>
          <w:rFonts w:ascii="Times New Roman" w:eastAsia="Times New Roman" w:hAnsi="Times New Roman" w:cs="Times New Roman"/>
          <w:sz w:val="28"/>
          <w:szCs w:val="28"/>
          <w:lang w:eastAsia="ru-RU"/>
        </w:rPr>
        <w:t>……………………………………………………………………...6</w:t>
      </w:r>
    </w:p>
    <w:p w:rsidR="009440F1" w:rsidRPr="00CF22AE" w:rsidRDefault="009440F1" w:rsidP="00AE3692">
      <w:pPr>
        <w:numPr>
          <w:ilvl w:val="1"/>
          <w:numId w:val="1"/>
        </w:numPr>
        <w:autoSpaceDE w:val="0"/>
        <w:autoSpaceDN w:val="0"/>
        <w:spacing w:after="0" w:line="360" w:lineRule="auto"/>
        <w:ind w:left="0" w:firstLine="0"/>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Пирій повзучий – перспективна рослинна сировина для створення лікарських засобів</w:t>
      </w:r>
      <w:r w:rsidR="009D543F">
        <w:rPr>
          <w:rFonts w:ascii="Times New Roman" w:eastAsia="Times New Roman" w:hAnsi="Times New Roman" w:cs="Times New Roman"/>
          <w:sz w:val="28"/>
          <w:szCs w:val="28"/>
          <w:lang w:eastAsia="uk-UA"/>
        </w:rPr>
        <w:t>………………………………………………………………</w:t>
      </w:r>
      <w:r w:rsidR="00775244">
        <w:rPr>
          <w:rFonts w:ascii="Times New Roman" w:eastAsia="Times New Roman" w:hAnsi="Times New Roman" w:cs="Times New Roman"/>
          <w:sz w:val="28"/>
          <w:szCs w:val="28"/>
          <w:lang w:eastAsia="uk-UA"/>
        </w:rPr>
        <w:t>...</w:t>
      </w:r>
      <w:r w:rsidR="009D543F">
        <w:rPr>
          <w:rFonts w:ascii="Times New Roman" w:eastAsia="Times New Roman" w:hAnsi="Times New Roman" w:cs="Times New Roman"/>
          <w:sz w:val="28"/>
          <w:szCs w:val="28"/>
          <w:lang w:eastAsia="uk-UA"/>
        </w:rPr>
        <w:t>.</w:t>
      </w:r>
      <w:r w:rsidR="00775244">
        <w:rPr>
          <w:rFonts w:ascii="Times New Roman" w:eastAsia="Times New Roman" w:hAnsi="Times New Roman" w:cs="Times New Roman"/>
          <w:sz w:val="28"/>
          <w:szCs w:val="28"/>
          <w:lang w:eastAsia="uk-UA"/>
        </w:rPr>
        <w:t>10</w:t>
      </w:r>
    </w:p>
    <w:p w:rsidR="009440F1" w:rsidRPr="00CF22AE" w:rsidRDefault="009440F1" w:rsidP="009440F1">
      <w:pPr>
        <w:shd w:val="clear" w:color="auto" w:fill="FFFFFF"/>
        <w:autoSpaceDE w:val="0"/>
        <w:autoSpaceDN w:val="0"/>
        <w:spacing w:after="0" w:line="360" w:lineRule="auto"/>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РОЗДІЛ 2 .ОБ'ЄКТИ ТА МЕТОДИ ДОСЛІДЖЕННЯ………………………….</w:t>
      </w:r>
      <w:r w:rsidR="00775244">
        <w:rPr>
          <w:rFonts w:ascii="Times New Roman" w:eastAsia="Times New Roman" w:hAnsi="Times New Roman" w:cs="Times New Roman"/>
          <w:sz w:val="28"/>
          <w:szCs w:val="28"/>
          <w:lang w:eastAsia="uk-UA"/>
        </w:rPr>
        <w:t>14</w:t>
      </w:r>
    </w:p>
    <w:p w:rsidR="009440F1" w:rsidRPr="00CF22AE" w:rsidRDefault="009440F1" w:rsidP="009440F1">
      <w:p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CF22AE">
        <w:rPr>
          <w:rFonts w:ascii="Times New Roman" w:eastAsia="Times New Roman" w:hAnsi="Times New Roman" w:cs="Times New Roman"/>
          <w:sz w:val="28"/>
          <w:szCs w:val="28"/>
          <w:lang w:eastAsia="uk-UA"/>
        </w:rPr>
        <w:t xml:space="preserve">2.1. </w:t>
      </w:r>
      <w:r w:rsidRPr="00CF22AE">
        <w:rPr>
          <w:rFonts w:ascii="Times New Roman" w:eastAsia="Times New Roman" w:hAnsi="Times New Roman" w:cs="Times New Roman"/>
          <w:sz w:val="28"/>
          <w:szCs w:val="28"/>
          <w:lang w:eastAsia="ru-RU"/>
        </w:rPr>
        <w:t>Характеристика лікарських та допоміжних речовин як об’єктів дослідження</w:t>
      </w:r>
      <w:r w:rsidR="00775244">
        <w:rPr>
          <w:rFonts w:ascii="Times New Roman" w:eastAsia="Times New Roman" w:hAnsi="Times New Roman" w:cs="Times New Roman"/>
          <w:sz w:val="28"/>
          <w:szCs w:val="28"/>
          <w:lang w:eastAsia="ru-RU"/>
        </w:rPr>
        <w:t>………………………………………………………………………..14</w:t>
      </w:r>
    </w:p>
    <w:p w:rsidR="009440F1" w:rsidRPr="00CF22AE" w:rsidRDefault="009440F1"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2.2.Методи досліджень </w:t>
      </w:r>
      <w:r w:rsidR="00E3509E">
        <w:rPr>
          <w:rFonts w:ascii="Times New Roman" w:eastAsia="Times New Roman" w:hAnsi="Times New Roman" w:cs="Times New Roman"/>
          <w:sz w:val="28"/>
          <w:szCs w:val="28"/>
          <w:lang w:eastAsia="uk-UA"/>
        </w:rPr>
        <w:t>…………………………………………………….</w:t>
      </w:r>
      <w:r w:rsidR="00775244">
        <w:rPr>
          <w:rFonts w:ascii="Times New Roman" w:eastAsia="Times New Roman" w:hAnsi="Times New Roman" w:cs="Times New Roman"/>
          <w:color w:val="000000"/>
          <w:sz w:val="28"/>
          <w:szCs w:val="28"/>
          <w:lang w:eastAsia="uk-UA"/>
        </w:rPr>
        <w:t>…..…16</w:t>
      </w:r>
    </w:p>
    <w:p w:rsidR="009440F1" w:rsidRPr="00CF22AE" w:rsidRDefault="009440F1"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РОЗДІЛ 3. АНАЛІЗ АСОРТИМЕНТУ ГЕПАТОПРОТЕКТОРНИХ ЛІКАРСЬКИХ ЗАСОБІВ НА РОСЛИННІЙ ОСНОВІ. </w:t>
      </w:r>
      <w:r w:rsidRPr="00CF22AE">
        <w:rPr>
          <w:rFonts w:ascii="Times New Roman" w:eastAsia="Times New Roman" w:hAnsi="Times New Roman" w:cs="Times New Roman"/>
          <w:bCs/>
          <w:sz w:val="28"/>
          <w:szCs w:val="28"/>
        </w:rPr>
        <w:t xml:space="preserve">РОЗРОБКА СКЛАДУ ТА ТЕХНОЛОГІЇ ТВЕРДОЇ ЛІКАРСЬКОЇ ФОРМИ НА ОСНОВІ ФІТОСУБСТАНЦІЇ ПИРІЮ ПОВЗУЧОГО </w:t>
      </w:r>
      <w:r w:rsidR="00775244">
        <w:rPr>
          <w:rFonts w:ascii="Times New Roman" w:eastAsia="Times New Roman" w:hAnsi="Times New Roman" w:cs="Times New Roman"/>
          <w:bCs/>
          <w:sz w:val="28"/>
          <w:szCs w:val="28"/>
        </w:rPr>
        <w:t>………………………………</w:t>
      </w:r>
      <w:r w:rsidR="007B03C3">
        <w:rPr>
          <w:rFonts w:ascii="Times New Roman" w:eastAsia="Times New Roman" w:hAnsi="Times New Roman" w:cs="Times New Roman"/>
          <w:bCs/>
          <w:sz w:val="28"/>
          <w:szCs w:val="28"/>
        </w:rPr>
        <w:t>……...</w:t>
      </w:r>
      <w:r w:rsidR="00B07033">
        <w:rPr>
          <w:rFonts w:ascii="Times New Roman" w:eastAsia="Times New Roman" w:hAnsi="Times New Roman" w:cs="Times New Roman"/>
          <w:bCs/>
          <w:sz w:val="28"/>
          <w:szCs w:val="28"/>
        </w:rPr>
        <w:t>20</w:t>
      </w:r>
    </w:p>
    <w:p w:rsidR="009440F1" w:rsidRDefault="009440F1"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3.1. Аналіз асортименту гепатопротекторних лікарських засобів на рослинній основі на фармацевтичному ринку України</w:t>
      </w:r>
      <w:r w:rsidR="009D543F">
        <w:rPr>
          <w:rFonts w:ascii="Times New Roman" w:eastAsia="Times New Roman" w:hAnsi="Times New Roman" w:cs="Times New Roman"/>
          <w:sz w:val="28"/>
          <w:szCs w:val="28"/>
          <w:lang w:eastAsia="uk-UA"/>
        </w:rPr>
        <w:t>………………………</w:t>
      </w:r>
      <w:r w:rsidR="00B07033">
        <w:rPr>
          <w:rFonts w:ascii="Times New Roman" w:eastAsia="Times New Roman" w:hAnsi="Times New Roman" w:cs="Times New Roman"/>
          <w:sz w:val="28"/>
          <w:szCs w:val="28"/>
          <w:lang w:eastAsia="uk-UA"/>
        </w:rPr>
        <w:t>.</w:t>
      </w:r>
      <w:r w:rsidR="009D543F">
        <w:rPr>
          <w:rFonts w:ascii="Times New Roman" w:eastAsia="Times New Roman" w:hAnsi="Times New Roman" w:cs="Times New Roman"/>
          <w:sz w:val="28"/>
          <w:szCs w:val="28"/>
          <w:lang w:eastAsia="uk-UA"/>
        </w:rPr>
        <w:t>…………….</w:t>
      </w:r>
      <w:r w:rsidR="00B07033">
        <w:rPr>
          <w:rFonts w:ascii="Times New Roman" w:eastAsia="Times New Roman" w:hAnsi="Times New Roman" w:cs="Times New Roman"/>
          <w:sz w:val="28"/>
          <w:szCs w:val="28"/>
          <w:lang w:eastAsia="uk-UA"/>
        </w:rPr>
        <w:t>20</w:t>
      </w:r>
    </w:p>
    <w:p w:rsidR="00775244" w:rsidRPr="00CF22AE" w:rsidRDefault="00775244" w:rsidP="009440F1">
      <w:pPr>
        <w:autoSpaceDE w:val="0"/>
        <w:autoSpaceDN w:val="0"/>
        <w:spacing w:after="0" w:line="360" w:lineRule="auto"/>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rPr>
        <w:t>3.2 Аналіз ринку фітопрепаратів на основі пирію повзучого</w:t>
      </w:r>
      <w:r w:rsidR="00B07033">
        <w:rPr>
          <w:rFonts w:ascii="Times New Roman" w:eastAsia="Times New Roman" w:hAnsi="Times New Roman" w:cs="Times New Roman"/>
          <w:sz w:val="28"/>
          <w:szCs w:val="28"/>
        </w:rPr>
        <w:t>…………………..24</w:t>
      </w:r>
    </w:p>
    <w:p w:rsidR="009440F1" w:rsidRPr="00CF22AE" w:rsidRDefault="00775244" w:rsidP="009440F1">
      <w:pPr>
        <w:autoSpaceDE w:val="0"/>
        <w:autoSpaceDN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3.3</w:t>
      </w:r>
      <w:r w:rsidR="009440F1" w:rsidRPr="00CF22AE">
        <w:rPr>
          <w:rFonts w:ascii="Times New Roman" w:eastAsia="Times New Roman" w:hAnsi="Times New Roman" w:cs="Times New Roman"/>
          <w:sz w:val="28"/>
          <w:szCs w:val="28"/>
          <w:lang w:eastAsia="ru-RU"/>
        </w:rPr>
        <w:t xml:space="preserve">. </w:t>
      </w:r>
      <w:r w:rsidR="009440F1" w:rsidRPr="00CF22AE">
        <w:rPr>
          <w:rFonts w:ascii="Times New Roman" w:eastAsia="Times New Roman,Bold" w:hAnsi="Times New Roman" w:cs="Times New Roman"/>
          <w:bCs/>
          <w:sz w:val="28"/>
          <w:szCs w:val="28"/>
        </w:rPr>
        <w:t xml:space="preserve">Вибір якісних факторів з метою розробки складу та технології гранул </w:t>
      </w:r>
      <w:r w:rsidR="009440F1" w:rsidRPr="00CF22AE">
        <w:rPr>
          <w:rFonts w:ascii="Times New Roman" w:eastAsia="Calibri" w:hAnsi="Times New Roman" w:cs="Times New Roman"/>
          <w:sz w:val="28"/>
          <w:szCs w:val="28"/>
        </w:rPr>
        <w:t>на основі фітосубстанції  пирію повзучого</w:t>
      </w:r>
      <w:r w:rsidR="009D543F">
        <w:rPr>
          <w:rFonts w:ascii="Times New Roman" w:eastAsia="Calibri" w:hAnsi="Times New Roman" w:cs="Times New Roman"/>
          <w:sz w:val="28"/>
          <w:szCs w:val="28"/>
        </w:rPr>
        <w:t>………………………………………….</w:t>
      </w:r>
      <w:r w:rsidR="00B07033">
        <w:rPr>
          <w:rFonts w:ascii="Times New Roman" w:eastAsia="Calibri" w:hAnsi="Times New Roman" w:cs="Times New Roman"/>
          <w:sz w:val="28"/>
          <w:szCs w:val="28"/>
        </w:rPr>
        <w:t>26</w:t>
      </w:r>
    </w:p>
    <w:p w:rsidR="009440F1" w:rsidRPr="00CF22AE" w:rsidRDefault="009D543F" w:rsidP="009440F1">
      <w:pPr>
        <w:autoSpaceDE w:val="0"/>
        <w:autoSpaceDN w:val="0"/>
        <w:spacing w:after="0" w:line="360" w:lineRule="auto"/>
        <w:jc w:val="both"/>
        <w:rPr>
          <w:rFonts w:ascii="Times New Roman" w:eastAsia="Times New Roman" w:hAnsi="Times New Roman" w:cs="Times New Roman"/>
          <w:sz w:val="28"/>
          <w:szCs w:val="28"/>
          <w:lang w:eastAsia="ru-RU"/>
        </w:rPr>
      </w:pPr>
      <w:r>
        <w:rPr>
          <w:rFonts w:ascii="Times New Roman" w:eastAsia="Calibri" w:hAnsi="Times New Roman" w:cs="Times New Roman"/>
          <w:sz w:val="28"/>
          <w:szCs w:val="28"/>
          <w:lang w:eastAsia="uk-UA"/>
        </w:rPr>
        <w:t>3.4</w:t>
      </w:r>
      <w:r w:rsidR="009440F1" w:rsidRPr="00CF22AE">
        <w:rPr>
          <w:rFonts w:ascii="Times New Roman" w:eastAsia="Calibri" w:hAnsi="Times New Roman" w:cs="Times New Roman"/>
          <w:sz w:val="28"/>
          <w:szCs w:val="28"/>
          <w:lang w:eastAsia="uk-UA"/>
        </w:rPr>
        <w:t xml:space="preserve">. </w:t>
      </w:r>
      <w:r w:rsidR="007B03C3">
        <w:rPr>
          <w:rFonts w:ascii="Times New Roman" w:eastAsia="Times New Roman" w:hAnsi="Times New Roman" w:cs="Times New Roman"/>
          <w:sz w:val="28"/>
          <w:szCs w:val="28"/>
        </w:rPr>
        <w:t>Розробка оптимальних допоміжниї речовин</w:t>
      </w:r>
      <w:r w:rsidR="009440F1" w:rsidRPr="00CF22AE">
        <w:rPr>
          <w:rFonts w:ascii="Times New Roman" w:eastAsia="Times New Roman" w:hAnsi="Times New Roman" w:cs="Times New Roman"/>
          <w:sz w:val="28"/>
          <w:szCs w:val="28"/>
        </w:rPr>
        <w:t xml:space="preserve"> та технології гранул  </w:t>
      </w:r>
      <w:r w:rsidR="009440F1" w:rsidRPr="00CF22AE">
        <w:rPr>
          <w:rFonts w:ascii="Times New Roman" w:eastAsia="Calibri" w:hAnsi="Times New Roman" w:cs="Times New Roman"/>
          <w:sz w:val="28"/>
          <w:szCs w:val="28"/>
        </w:rPr>
        <w:t>на основі фітосубстанції  пирію повзучого</w:t>
      </w:r>
      <w:r>
        <w:rPr>
          <w:rFonts w:ascii="Times New Roman" w:eastAsia="Calibri" w:hAnsi="Times New Roman" w:cs="Times New Roman"/>
          <w:sz w:val="28"/>
          <w:szCs w:val="28"/>
        </w:rPr>
        <w:t>……</w:t>
      </w:r>
      <w:r w:rsidR="00B07033">
        <w:rPr>
          <w:rFonts w:ascii="Times New Roman" w:eastAsia="Calibri" w:hAnsi="Times New Roman" w:cs="Times New Roman"/>
          <w:sz w:val="28"/>
          <w:szCs w:val="28"/>
        </w:rPr>
        <w:t>…………………………………………….42</w:t>
      </w:r>
    </w:p>
    <w:p w:rsidR="009440F1" w:rsidRPr="00CF22AE" w:rsidRDefault="009D543F" w:rsidP="009440F1">
      <w:pPr>
        <w:autoSpaceDE w:val="0"/>
        <w:autoSpaceDN w:val="0"/>
        <w:spacing w:after="0" w:line="360" w:lineRule="auto"/>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ЗАГАЛЬНІ ВИСНОВКИ……………</w:t>
      </w:r>
      <w:r w:rsidR="009440F1" w:rsidRPr="00CF22AE">
        <w:rPr>
          <w:rFonts w:ascii="Times New Roman" w:eastAsia="Calibri" w:hAnsi="Times New Roman" w:cs="Times New Roman"/>
          <w:sz w:val="28"/>
          <w:szCs w:val="28"/>
          <w:lang w:eastAsia="uk-UA"/>
        </w:rPr>
        <w:t>……………………………………………...</w:t>
      </w:r>
      <w:r w:rsidR="00B07033">
        <w:rPr>
          <w:rFonts w:ascii="Times New Roman" w:eastAsia="Calibri" w:hAnsi="Times New Roman" w:cs="Times New Roman"/>
          <w:sz w:val="28"/>
          <w:szCs w:val="28"/>
          <w:lang w:eastAsia="uk-UA"/>
        </w:rPr>
        <w:t>53</w:t>
      </w:r>
    </w:p>
    <w:p w:rsidR="009440F1" w:rsidRPr="00CF22AE" w:rsidRDefault="009440F1" w:rsidP="009440F1">
      <w:pPr>
        <w:autoSpaceDE w:val="0"/>
        <w:autoSpaceDN w:val="0"/>
        <w:spacing w:after="0" w:line="360" w:lineRule="auto"/>
        <w:rPr>
          <w:rFonts w:ascii="Times New Roman" w:eastAsia="Calibri" w:hAnsi="Times New Roman" w:cs="Times New Roman"/>
          <w:sz w:val="28"/>
          <w:szCs w:val="28"/>
          <w:lang w:eastAsia="uk-UA"/>
        </w:rPr>
      </w:pPr>
      <w:r w:rsidRPr="00CF22AE">
        <w:rPr>
          <w:rFonts w:ascii="Times New Roman" w:eastAsia="Calibri" w:hAnsi="Times New Roman" w:cs="Times New Roman"/>
          <w:sz w:val="28"/>
          <w:szCs w:val="28"/>
          <w:lang w:eastAsia="uk-UA"/>
        </w:rPr>
        <w:t>СПИСОК ВИКОРИСТАНИХ ДЖЕРЕЛ……………………………</w:t>
      </w:r>
      <w:r w:rsidR="009D543F">
        <w:rPr>
          <w:rFonts w:ascii="Times New Roman" w:eastAsia="Calibri" w:hAnsi="Times New Roman" w:cs="Times New Roman"/>
          <w:sz w:val="28"/>
          <w:szCs w:val="28"/>
          <w:lang w:eastAsia="uk-UA"/>
        </w:rPr>
        <w:t>.</w:t>
      </w:r>
      <w:r w:rsidRPr="00CF22AE">
        <w:rPr>
          <w:rFonts w:ascii="Times New Roman" w:eastAsia="Calibri" w:hAnsi="Times New Roman" w:cs="Times New Roman"/>
          <w:sz w:val="28"/>
          <w:szCs w:val="28"/>
          <w:lang w:eastAsia="uk-UA"/>
        </w:rPr>
        <w:t>…………….</w:t>
      </w:r>
      <w:r w:rsidR="00B07033">
        <w:rPr>
          <w:rFonts w:ascii="Times New Roman" w:eastAsia="Calibri" w:hAnsi="Times New Roman" w:cs="Times New Roman"/>
          <w:sz w:val="28"/>
          <w:szCs w:val="28"/>
          <w:lang w:eastAsia="uk-UA"/>
        </w:rPr>
        <w:t>57</w:t>
      </w:r>
    </w:p>
    <w:p w:rsidR="009440F1" w:rsidRPr="00CF22AE" w:rsidRDefault="009440F1" w:rsidP="009440F1">
      <w:pPr>
        <w:spacing w:after="0" w:line="360" w:lineRule="auto"/>
        <w:rPr>
          <w:rFonts w:ascii="Times New Roman" w:eastAsia="Calibri" w:hAnsi="Times New Roman" w:cs="Times New Roman"/>
          <w:sz w:val="28"/>
          <w:szCs w:val="28"/>
          <w:lang w:eastAsia="uk-UA"/>
        </w:rPr>
      </w:pPr>
      <w:r w:rsidRPr="00CF22AE">
        <w:rPr>
          <w:rFonts w:ascii="Times New Roman" w:eastAsia="Calibri" w:hAnsi="Times New Roman" w:cs="Times New Roman"/>
          <w:sz w:val="28"/>
          <w:szCs w:val="28"/>
          <w:lang w:eastAsia="uk-UA"/>
        </w:rPr>
        <w:t>ДОДАТКИ………………………</w:t>
      </w:r>
      <w:r w:rsidR="009D543F">
        <w:rPr>
          <w:rFonts w:ascii="Times New Roman" w:eastAsia="Calibri" w:hAnsi="Times New Roman" w:cs="Times New Roman"/>
          <w:sz w:val="28"/>
          <w:szCs w:val="28"/>
          <w:lang w:eastAsia="uk-UA"/>
        </w:rPr>
        <w:t>…………………………………………………..</w:t>
      </w:r>
      <w:r w:rsidR="00B07033">
        <w:rPr>
          <w:rFonts w:ascii="Times New Roman" w:eastAsia="Calibri" w:hAnsi="Times New Roman" w:cs="Times New Roman"/>
          <w:sz w:val="28"/>
          <w:szCs w:val="28"/>
          <w:lang w:eastAsia="uk-UA"/>
        </w:rPr>
        <w:t>63</w:t>
      </w:r>
    </w:p>
    <w:p w:rsidR="009440F1" w:rsidRPr="00CF22AE" w:rsidRDefault="009440F1" w:rsidP="009440F1">
      <w:pPr>
        <w:spacing w:after="0" w:line="360" w:lineRule="auto"/>
        <w:jc w:val="center"/>
        <w:rPr>
          <w:rFonts w:ascii="Times New Roman" w:eastAsia="Calibri" w:hAnsi="Times New Roman" w:cs="Times New Roman"/>
          <w:b/>
          <w:sz w:val="28"/>
          <w:szCs w:val="28"/>
        </w:rPr>
      </w:pPr>
    </w:p>
    <w:p w:rsidR="009440F1" w:rsidRPr="00CF22AE" w:rsidRDefault="009440F1" w:rsidP="00775244">
      <w:pPr>
        <w:spacing w:after="0" w:line="360" w:lineRule="auto"/>
        <w:rPr>
          <w:rFonts w:ascii="Times New Roman" w:eastAsia="Calibri" w:hAnsi="Times New Roman" w:cs="Times New Roman"/>
          <w:b/>
          <w:sz w:val="28"/>
          <w:szCs w:val="28"/>
        </w:rPr>
      </w:pPr>
    </w:p>
    <w:p w:rsidR="009440F1" w:rsidRDefault="009440F1" w:rsidP="009440F1">
      <w:pPr>
        <w:spacing w:after="0" w:line="360" w:lineRule="auto"/>
        <w:jc w:val="center"/>
        <w:rPr>
          <w:rFonts w:ascii="Times New Roman" w:eastAsia="Calibri" w:hAnsi="Times New Roman" w:cs="Times New Roman"/>
          <w:b/>
          <w:sz w:val="28"/>
          <w:szCs w:val="28"/>
        </w:rPr>
      </w:pPr>
      <w:r w:rsidRPr="00CF22AE">
        <w:rPr>
          <w:rFonts w:ascii="Times New Roman" w:eastAsia="Calibri" w:hAnsi="Times New Roman" w:cs="Times New Roman"/>
          <w:b/>
          <w:sz w:val="28"/>
          <w:szCs w:val="28"/>
        </w:rPr>
        <w:t>ПЕРЕЛІК УМОВНИХ ПОЗНАЧЕНЬ</w:t>
      </w:r>
    </w:p>
    <w:p w:rsidR="00E3509E" w:rsidRPr="00E3509E" w:rsidRDefault="00E3509E" w:rsidP="00E3509E">
      <w:pPr>
        <w:rPr>
          <w:rFonts w:ascii="Times New Roman" w:eastAsia="Calibri" w:hAnsi="Times New Roman" w:cs="Times New Roman"/>
          <w:sz w:val="28"/>
          <w:szCs w:val="28"/>
          <w:lang w:val="en-US"/>
        </w:rPr>
      </w:pPr>
      <w:r>
        <w:rPr>
          <w:rFonts w:ascii="Times New Roman" w:eastAsia="Calibri" w:hAnsi="Times New Roman" w:cs="Times New Roman"/>
          <w:sz w:val="28"/>
          <w:szCs w:val="28"/>
        </w:rPr>
        <w:t>АП –  асортиментні позиції</w:t>
      </w:r>
    </w:p>
    <w:p w:rsidR="009440F1" w:rsidRPr="00CF22AE"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БАР – біологічно-активні речовини</w:t>
      </w:r>
    </w:p>
    <w:p w:rsidR="009440F1" w:rsidRPr="00CF22AE"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ДФУ – Державна Фармакопея України</w:t>
      </w:r>
    </w:p>
    <w:p w:rsidR="009440F1" w:rsidRPr="00CF22AE"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ЛЗ – лікарський засіб</w:t>
      </w:r>
    </w:p>
    <w:p w:rsidR="009440F1"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ЛП – лікарський препарат</w:t>
      </w:r>
    </w:p>
    <w:p w:rsidR="00DE11A2" w:rsidRPr="00CF22AE" w:rsidRDefault="00DE11A2" w:rsidP="00DE11A2">
      <w:pPr>
        <w:spacing w:after="0" w:line="360" w:lineRule="auto"/>
        <w:jc w:val="both"/>
        <w:rPr>
          <w:rFonts w:ascii="Times New Roman" w:eastAsia="Calibri" w:hAnsi="Times New Roman" w:cs="Times New Roman"/>
          <w:sz w:val="28"/>
          <w:szCs w:val="28"/>
        </w:rPr>
      </w:pPr>
      <w:r>
        <w:rPr>
          <w:rFonts w:ascii="Times New Roman" w:hAnsi="Times New Roman" w:cs="Times New Roman"/>
          <w:color w:val="0D0D0D"/>
          <w:sz w:val="28"/>
          <w:szCs w:val="28"/>
          <w:shd w:val="clear" w:color="auto" w:fill="FFFFFF"/>
        </w:rPr>
        <w:t xml:space="preserve">ЛР – лікарські </w:t>
      </w:r>
      <w:r w:rsidRPr="00CF22AE">
        <w:rPr>
          <w:rFonts w:ascii="Times New Roman" w:hAnsi="Times New Roman" w:cs="Times New Roman"/>
          <w:color w:val="0D0D0D"/>
          <w:sz w:val="28"/>
          <w:szCs w:val="28"/>
          <w:shd w:val="clear" w:color="auto" w:fill="FFFFFF"/>
        </w:rPr>
        <w:t>рослин</w:t>
      </w:r>
      <w:r>
        <w:rPr>
          <w:rFonts w:ascii="Times New Roman" w:hAnsi="Times New Roman" w:cs="Times New Roman"/>
          <w:color w:val="0D0D0D"/>
          <w:sz w:val="28"/>
          <w:szCs w:val="28"/>
          <w:shd w:val="clear" w:color="auto" w:fill="FFFFFF"/>
        </w:rPr>
        <w:t>и</w:t>
      </w:r>
    </w:p>
    <w:p w:rsidR="009440F1" w:rsidRPr="00CF22AE"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ЛРС – лікарська рослинна сировина</w:t>
      </w:r>
    </w:p>
    <w:p w:rsidR="009440F1" w:rsidRPr="00CF22AE" w:rsidRDefault="009440F1" w:rsidP="009440F1">
      <w:pPr>
        <w:spacing w:after="0" w:line="360" w:lineRule="auto"/>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МПЕ – математичне планування експерименту</w:t>
      </w:r>
    </w:p>
    <w:p w:rsidR="00536402" w:rsidRDefault="00DB7D0E" w:rsidP="00425F43">
      <w:pPr>
        <w:spacing w:after="160" w:line="256"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НАЖХП – н</w:t>
      </w:r>
      <w:r w:rsidRPr="00CF22AE">
        <w:rPr>
          <w:rFonts w:ascii="Times New Roman" w:eastAsia="Times New Roman" w:hAnsi="Times New Roman" w:cs="Times New Roman"/>
          <w:sz w:val="28"/>
          <w:szCs w:val="28"/>
          <w:lang w:eastAsia="uk-UA"/>
        </w:rPr>
        <w:t xml:space="preserve">еалкогольна жирова хвороба печінки </w:t>
      </w:r>
    </w:p>
    <w:p w:rsidR="00E3509E" w:rsidRDefault="00E3509E" w:rsidP="00425F43">
      <w:pPr>
        <w:spacing w:after="160" w:line="256" w:lineRule="auto"/>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ТН – торгова назва</w:t>
      </w:r>
    </w:p>
    <w:p w:rsidR="00425F43" w:rsidRPr="00425F43" w:rsidRDefault="00536402" w:rsidP="00425F43">
      <w:pPr>
        <w:spacing w:after="160" w:line="256" w:lineRule="auto"/>
        <w:rPr>
          <w:rFonts w:ascii="Times New Roman" w:eastAsia="Calibri" w:hAnsi="Times New Roman" w:cs="Times New Roman"/>
          <w:sz w:val="28"/>
          <w:szCs w:val="28"/>
        </w:rPr>
      </w:pPr>
      <w:r>
        <w:rPr>
          <w:rFonts w:ascii="Times New Roman" w:eastAsia="Times New Roman" w:hAnsi="Times New Roman" w:cs="Times New Roman"/>
          <w:sz w:val="28"/>
          <w:szCs w:val="28"/>
          <w:lang w:eastAsia="uk-UA"/>
        </w:rPr>
        <w:t>ФППТ – фітосубтанція пирію повзучого трави</w:t>
      </w:r>
      <w:r w:rsidR="009440F1" w:rsidRPr="00CF22AE">
        <w:rPr>
          <w:rFonts w:ascii="Times New Roman" w:eastAsia="Calibri" w:hAnsi="Times New Roman" w:cs="Times New Roman"/>
          <w:sz w:val="28"/>
          <w:szCs w:val="28"/>
        </w:rPr>
        <w:br w:type="page"/>
      </w:r>
    </w:p>
    <w:p w:rsidR="009440F1" w:rsidRPr="00CF22AE" w:rsidRDefault="009440F1" w:rsidP="00DB7D0E">
      <w:pPr>
        <w:pStyle w:val="a3"/>
        <w:spacing w:line="360" w:lineRule="auto"/>
        <w:ind w:firstLine="709"/>
        <w:jc w:val="center"/>
        <w:rPr>
          <w:rFonts w:ascii="Times New Roman" w:hAnsi="Times New Roman" w:cs="Times New Roman"/>
          <w:b/>
          <w:sz w:val="28"/>
          <w:szCs w:val="28"/>
        </w:rPr>
      </w:pPr>
      <w:r w:rsidRPr="00CF22AE">
        <w:rPr>
          <w:rFonts w:ascii="Times New Roman" w:hAnsi="Times New Roman" w:cs="Times New Roman"/>
          <w:b/>
          <w:sz w:val="28"/>
          <w:szCs w:val="28"/>
        </w:rPr>
        <w:t>ВСТУП</w:t>
      </w:r>
    </w:p>
    <w:p w:rsidR="009440F1" w:rsidRPr="00CF22AE" w:rsidRDefault="009440F1"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b/>
          <w:i/>
          <w:sz w:val="28"/>
          <w:szCs w:val="28"/>
        </w:rPr>
        <w:t>Актуальність теми.</w:t>
      </w:r>
      <w:r w:rsidRPr="00CF22AE">
        <w:rPr>
          <w:rFonts w:ascii="Times New Roman" w:hAnsi="Times New Roman" w:cs="Times New Roman"/>
          <w:sz w:val="28"/>
          <w:szCs w:val="28"/>
        </w:rPr>
        <w:t xml:space="preserve"> </w:t>
      </w:r>
    </w:p>
    <w:p w:rsidR="00174D70" w:rsidRPr="00CF22AE" w:rsidRDefault="00676045"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Гепатопротектори – група лікарських засобів</w:t>
      </w:r>
      <w:r w:rsidR="007E0D07" w:rsidRPr="00CF22AE">
        <w:rPr>
          <w:rFonts w:ascii="Times New Roman" w:hAnsi="Times New Roman" w:cs="Times New Roman"/>
          <w:sz w:val="28"/>
          <w:szCs w:val="28"/>
        </w:rPr>
        <w:t xml:space="preserve"> (ЛЗ)</w:t>
      </w:r>
      <w:r w:rsidRPr="00CF22AE">
        <w:rPr>
          <w:rFonts w:ascii="Times New Roman" w:hAnsi="Times New Roman" w:cs="Times New Roman"/>
          <w:sz w:val="28"/>
          <w:szCs w:val="28"/>
        </w:rPr>
        <w:t>, котра, на сьогодні, є чи не</w:t>
      </w:r>
      <w:r w:rsidR="007E0D07" w:rsidRPr="00CF22AE">
        <w:rPr>
          <w:rFonts w:ascii="Times New Roman" w:hAnsi="Times New Roman" w:cs="Times New Roman"/>
          <w:sz w:val="28"/>
          <w:szCs w:val="28"/>
        </w:rPr>
        <w:t xml:space="preserve"> </w:t>
      </w:r>
      <w:r w:rsidRPr="00CF22AE">
        <w:rPr>
          <w:rFonts w:ascii="Times New Roman" w:hAnsi="Times New Roman" w:cs="Times New Roman"/>
          <w:sz w:val="28"/>
          <w:szCs w:val="28"/>
        </w:rPr>
        <w:t>найбільш затребуваною серед усіх медични</w:t>
      </w:r>
      <w:r w:rsidR="003514CF" w:rsidRPr="00CF22AE">
        <w:rPr>
          <w:rFonts w:ascii="Times New Roman" w:hAnsi="Times New Roman" w:cs="Times New Roman"/>
          <w:sz w:val="28"/>
          <w:szCs w:val="28"/>
        </w:rPr>
        <w:t xml:space="preserve">х препаратів, а захворювання печінки – пріоритетна сфера охорони здоров’я. </w:t>
      </w:r>
      <w:r w:rsidRPr="00CF22AE">
        <w:rPr>
          <w:rFonts w:ascii="Times New Roman" w:hAnsi="Times New Roman" w:cs="Times New Roman"/>
          <w:sz w:val="28"/>
          <w:szCs w:val="28"/>
        </w:rPr>
        <w:t xml:space="preserve">Згідно даних Всесвітньої організації охорони здоров‘я </w:t>
      </w:r>
      <w:r w:rsidR="00C72AA3" w:rsidRPr="00CF22AE">
        <w:rPr>
          <w:rFonts w:ascii="Times New Roman" w:hAnsi="Times New Roman" w:cs="Times New Roman"/>
          <w:sz w:val="28"/>
          <w:szCs w:val="28"/>
        </w:rPr>
        <w:t xml:space="preserve"> </w:t>
      </w:r>
      <w:r w:rsidRPr="00CF22AE">
        <w:rPr>
          <w:rFonts w:ascii="Times New Roman" w:hAnsi="Times New Roman" w:cs="Times New Roman"/>
          <w:sz w:val="28"/>
          <w:szCs w:val="28"/>
        </w:rPr>
        <w:t>за останні 20 років у всьому світі спостерігається негативна тенденція до росту чисельності захворювання печінки, що зумовлює високу смертність населення</w:t>
      </w:r>
      <w:r w:rsidR="00174D70" w:rsidRPr="00CF22AE">
        <w:rPr>
          <w:rFonts w:ascii="Times New Roman" w:hAnsi="Times New Roman" w:cs="Times New Roman"/>
          <w:sz w:val="28"/>
          <w:szCs w:val="28"/>
        </w:rPr>
        <w:t xml:space="preserve"> [</w:t>
      </w:r>
      <w:r w:rsidR="004A2E1A" w:rsidRPr="00CF22AE">
        <w:rPr>
          <w:rFonts w:ascii="Times New Roman" w:hAnsi="Times New Roman" w:cs="Times New Roman"/>
          <w:sz w:val="28"/>
          <w:szCs w:val="28"/>
        </w:rPr>
        <w:t>1</w:t>
      </w:r>
      <w:r w:rsidR="00536402">
        <w:rPr>
          <w:rFonts w:ascii="Times New Roman" w:eastAsia="Times New Roman" w:hAnsi="Times New Roman" w:cs="Times New Roman"/>
          <w:sz w:val="28"/>
          <w:szCs w:val="28"/>
          <w:lang w:eastAsia="uk-UA"/>
        </w:rPr>
        <w:t xml:space="preserve"> -</w:t>
      </w:r>
      <w:r w:rsidR="0028102A">
        <w:rPr>
          <w:rFonts w:ascii="Times New Roman" w:eastAsia="Times New Roman" w:hAnsi="Times New Roman" w:cs="Times New Roman"/>
          <w:sz w:val="28"/>
          <w:szCs w:val="28"/>
          <w:lang w:eastAsia="uk-UA"/>
        </w:rPr>
        <w:t xml:space="preserve"> </w:t>
      </w:r>
      <w:r w:rsidR="004A2E1A" w:rsidRPr="00CF22AE">
        <w:rPr>
          <w:rFonts w:ascii="Times New Roman" w:eastAsia="Times New Roman" w:hAnsi="Times New Roman" w:cs="Times New Roman"/>
          <w:sz w:val="28"/>
          <w:szCs w:val="28"/>
          <w:lang w:eastAsia="uk-UA"/>
        </w:rPr>
        <w:t>3</w:t>
      </w:r>
      <w:r w:rsidR="00174D70" w:rsidRPr="00CF22AE">
        <w:rPr>
          <w:rFonts w:ascii="Times New Roman" w:hAnsi="Times New Roman" w:cs="Times New Roman"/>
          <w:sz w:val="28"/>
          <w:szCs w:val="28"/>
        </w:rPr>
        <w:t>]</w:t>
      </w:r>
      <w:r w:rsidRPr="00CF22AE">
        <w:rPr>
          <w:rFonts w:ascii="Times New Roman" w:hAnsi="Times New Roman" w:cs="Times New Roman"/>
          <w:sz w:val="28"/>
          <w:szCs w:val="28"/>
        </w:rPr>
        <w:t xml:space="preserve">. </w:t>
      </w:r>
    </w:p>
    <w:p w:rsidR="000D0B13" w:rsidRPr="00CF22AE" w:rsidRDefault="00676045"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За останнє десятиріччя в</w:t>
      </w:r>
      <w:r w:rsidR="001E1905" w:rsidRPr="00CF22AE">
        <w:rPr>
          <w:rFonts w:ascii="Times New Roman" w:hAnsi="Times New Roman" w:cs="Times New Roman"/>
          <w:sz w:val="28"/>
          <w:szCs w:val="28"/>
        </w:rPr>
        <w:t xml:space="preserve"> </w:t>
      </w:r>
      <w:r w:rsidRPr="00CF22AE">
        <w:rPr>
          <w:rFonts w:ascii="Times New Roman" w:hAnsi="Times New Roman" w:cs="Times New Roman"/>
          <w:sz w:val="28"/>
          <w:szCs w:val="28"/>
        </w:rPr>
        <w:t>Україні поширеність хронічних гепатитів і цирозів печінки збільшилася не менш ніж у 2,5 рази</w:t>
      </w:r>
      <w:r w:rsidR="008A2862" w:rsidRPr="00CF22AE">
        <w:rPr>
          <w:rFonts w:ascii="Times New Roman" w:hAnsi="Times New Roman" w:cs="Times New Roman"/>
          <w:sz w:val="28"/>
          <w:szCs w:val="28"/>
        </w:rPr>
        <w:t xml:space="preserve"> [</w:t>
      </w:r>
      <w:r w:rsidR="004A2E1A" w:rsidRPr="00CF22AE">
        <w:rPr>
          <w:rFonts w:ascii="Times New Roman" w:hAnsi="Times New Roman" w:cs="Times New Roman"/>
          <w:sz w:val="28"/>
          <w:szCs w:val="28"/>
        </w:rPr>
        <w:t>4,</w:t>
      </w:r>
      <w:r w:rsidR="0028102A">
        <w:rPr>
          <w:rFonts w:ascii="Times New Roman" w:hAnsi="Times New Roman" w:cs="Times New Roman"/>
          <w:sz w:val="28"/>
          <w:szCs w:val="28"/>
        </w:rPr>
        <w:t xml:space="preserve"> </w:t>
      </w:r>
      <w:r w:rsidR="004A2E1A" w:rsidRPr="00CF22AE">
        <w:rPr>
          <w:rFonts w:ascii="Times New Roman" w:hAnsi="Times New Roman" w:cs="Times New Roman"/>
          <w:sz w:val="28"/>
          <w:szCs w:val="28"/>
        </w:rPr>
        <w:t>5</w:t>
      </w:r>
      <w:r w:rsidR="008A2862" w:rsidRPr="00CF22AE">
        <w:rPr>
          <w:rFonts w:ascii="Times New Roman" w:hAnsi="Times New Roman" w:cs="Times New Roman"/>
          <w:sz w:val="28"/>
          <w:szCs w:val="28"/>
        </w:rPr>
        <w:t>]</w:t>
      </w:r>
      <w:r w:rsidR="004A2E1A" w:rsidRPr="00CF22AE">
        <w:rPr>
          <w:rFonts w:ascii="Times New Roman" w:hAnsi="Times New Roman" w:cs="Times New Roman"/>
          <w:sz w:val="28"/>
          <w:szCs w:val="28"/>
        </w:rPr>
        <w:t>.</w:t>
      </w:r>
      <w:r w:rsidR="003514CF" w:rsidRPr="00CF22AE">
        <w:rPr>
          <w:rFonts w:ascii="Times New Roman" w:eastAsia="Times New Roman" w:hAnsi="Times New Roman" w:cs="Times New Roman"/>
          <w:sz w:val="28"/>
          <w:szCs w:val="28"/>
          <w:lang w:eastAsia="uk-UA"/>
        </w:rPr>
        <w:t xml:space="preserve"> </w:t>
      </w:r>
    </w:p>
    <w:p w:rsidR="008A2862" w:rsidRPr="00CF22AE" w:rsidRDefault="00DB7D0E" w:rsidP="00DB7D0E">
      <w:pPr>
        <w:pStyle w:val="a3"/>
        <w:spacing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ЛЗ</w:t>
      </w:r>
      <w:r w:rsidR="000D0B13" w:rsidRPr="00CF22AE">
        <w:rPr>
          <w:rFonts w:ascii="Times New Roman" w:eastAsia="Times New Roman" w:hAnsi="Times New Roman" w:cs="Times New Roman"/>
          <w:sz w:val="28"/>
          <w:szCs w:val="28"/>
          <w:lang w:eastAsia="uk-UA"/>
        </w:rPr>
        <w:t xml:space="preserve"> на рослинній основі можуть служити </w:t>
      </w:r>
      <w:r w:rsidR="003514CF" w:rsidRPr="00CF22AE">
        <w:rPr>
          <w:rFonts w:ascii="Times New Roman" w:eastAsia="Times New Roman" w:hAnsi="Times New Roman" w:cs="Times New Roman"/>
          <w:sz w:val="28"/>
          <w:szCs w:val="28"/>
          <w:lang w:eastAsia="uk-UA"/>
        </w:rPr>
        <w:t>можливим</w:t>
      </w:r>
      <w:r w:rsidR="00A74291" w:rsidRPr="00CF22AE">
        <w:rPr>
          <w:rFonts w:ascii="Times New Roman" w:eastAsia="Times New Roman" w:hAnsi="Times New Roman" w:cs="Times New Roman"/>
          <w:sz w:val="28"/>
          <w:szCs w:val="28"/>
          <w:lang w:eastAsia="uk-UA"/>
        </w:rPr>
        <w:t xml:space="preserve"> та ефективним</w:t>
      </w:r>
      <w:r w:rsidR="003514CF" w:rsidRPr="00CF22AE">
        <w:rPr>
          <w:rFonts w:ascii="Times New Roman" w:eastAsia="Times New Roman" w:hAnsi="Times New Roman" w:cs="Times New Roman"/>
          <w:sz w:val="28"/>
          <w:szCs w:val="28"/>
          <w:lang w:eastAsia="uk-UA"/>
        </w:rPr>
        <w:t xml:space="preserve"> засобом лікування поширених проблем з печінкою через їх безпеку, легку доступність, економічну ефективність і екологічність</w:t>
      </w:r>
      <w:r w:rsidR="000D0B13" w:rsidRPr="00CF22AE">
        <w:rPr>
          <w:rFonts w:ascii="Times New Roman" w:eastAsia="Times New Roman" w:hAnsi="Times New Roman" w:cs="Times New Roman"/>
          <w:sz w:val="28"/>
          <w:szCs w:val="28"/>
          <w:lang w:eastAsia="uk-UA"/>
        </w:rPr>
        <w:t xml:space="preserve"> </w:t>
      </w:r>
      <w:r w:rsidR="00290B76" w:rsidRPr="00CF22AE">
        <w:rPr>
          <w:rFonts w:ascii="Times New Roman" w:eastAsia="Times New Roman" w:hAnsi="Times New Roman" w:cs="Times New Roman"/>
          <w:sz w:val="28"/>
          <w:szCs w:val="28"/>
          <w:lang w:eastAsia="uk-UA"/>
        </w:rPr>
        <w:t>[</w:t>
      </w:r>
      <w:r w:rsidR="004A2E1A" w:rsidRPr="00CF22AE">
        <w:rPr>
          <w:rFonts w:ascii="Times New Roman" w:eastAsia="Times New Roman" w:hAnsi="Times New Roman" w:cs="Times New Roman"/>
          <w:sz w:val="28"/>
          <w:szCs w:val="28"/>
          <w:lang w:eastAsia="uk-UA"/>
        </w:rPr>
        <w:t>6</w:t>
      </w:r>
      <w:r w:rsidR="00290B76" w:rsidRPr="00CF22AE">
        <w:rPr>
          <w:rFonts w:ascii="Times New Roman" w:eastAsia="Times New Roman" w:hAnsi="Times New Roman" w:cs="Times New Roman"/>
          <w:sz w:val="28"/>
          <w:szCs w:val="28"/>
          <w:lang w:eastAsia="uk-UA"/>
        </w:rPr>
        <w:t>]</w:t>
      </w:r>
      <w:r w:rsidR="00A74291" w:rsidRPr="00CF22AE">
        <w:rPr>
          <w:rFonts w:ascii="Times New Roman" w:eastAsia="Times New Roman" w:hAnsi="Times New Roman" w:cs="Times New Roman"/>
          <w:sz w:val="28"/>
          <w:szCs w:val="28"/>
          <w:lang w:eastAsia="uk-UA"/>
        </w:rPr>
        <w:t xml:space="preserve">, оскільки синтетичні препарати </w:t>
      </w:r>
      <w:r w:rsidR="00174D70" w:rsidRPr="00CF22AE">
        <w:rPr>
          <w:rFonts w:ascii="Times New Roman" w:eastAsia="Times New Roman" w:hAnsi="Times New Roman" w:cs="Times New Roman"/>
          <w:sz w:val="28"/>
          <w:szCs w:val="28"/>
          <w:lang w:eastAsia="uk-UA"/>
        </w:rPr>
        <w:t xml:space="preserve">іноді можуть призвести до серйозних побічних ефектів. </w:t>
      </w:r>
    </w:p>
    <w:p w:rsidR="000B4B6F" w:rsidRPr="00CF22AE" w:rsidRDefault="00A74291" w:rsidP="00DB7D0E">
      <w:pPr>
        <w:pStyle w:val="a3"/>
        <w:spacing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Відомо багато рослин, які є потенційними джерелами ЛЗ для лікування захворювань печінки та мають різні способи дії та біоактивність [</w:t>
      </w:r>
      <w:r w:rsidR="004A2E1A" w:rsidRPr="00CF22AE">
        <w:rPr>
          <w:rFonts w:ascii="Times New Roman" w:eastAsia="Times New Roman" w:hAnsi="Times New Roman" w:cs="Times New Roman"/>
          <w:sz w:val="28"/>
          <w:szCs w:val="28"/>
          <w:lang w:eastAsia="uk-UA"/>
        </w:rPr>
        <w:t>7,</w:t>
      </w:r>
      <w:r w:rsidR="0028102A">
        <w:rPr>
          <w:rFonts w:ascii="Times New Roman" w:eastAsia="Times New Roman" w:hAnsi="Times New Roman" w:cs="Times New Roman"/>
          <w:sz w:val="28"/>
          <w:szCs w:val="28"/>
          <w:lang w:eastAsia="uk-UA"/>
        </w:rPr>
        <w:t xml:space="preserve"> </w:t>
      </w:r>
      <w:r w:rsidR="004A2E1A" w:rsidRPr="00CF22AE">
        <w:rPr>
          <w:rFonts w:ascii="Times New Roman" w:eastAsia="Times New Roman" w:hAnsi="Times New Roman" w:cs="Times New Roman"/>
          <w:sz w:val="28"/>
          <w:szCs w:val="28"/>
          <w:lang w:eastAsia="uk-UA"/>
        </w:rPr>
        <w:t>8</w:t>
      </w:r>
      <w:r w:rsidRPr="00CF22AE">
        <w:rPr>
          <w:rFonts w:ascii="Times New Roman" w:eastAsia="Times New Roman" w:hAnsi="Times New Roman" w:cs="Times New Roman"/>
          <w:sz w:val="28"/>
          <w:szCs w:val="28"/>
          <w:lang w:eastAsia="uk-UA"/>
        </w:rPr>
        <w:t>]</w:t>
      </w:r>
      <w:r w:rsidR="000B4B6F" w:rsidRPr="00CF22AE">
        <w:rPr>
          <w:rFonts w:ascii="Times New Roman" w:eastAsia="Times New Roman" w:hAnsi="Times New Roman" w:cs="Times New Roman"/>
          <w:sz w:val="28"/>
          <w:szCs w:val="28"/>
          <w:lang w:eastAsia="uk-UA"/>
        </w:rPr>
        <w:t xml:space="preserve">. Деякі з них добре вивчені щодо </w:t>
      </w:r>
      <w:r w:rsidR="00C72AA3" w:rsidRPr="00CF22AE">
        <w:rPr>
          <w:rFonts w:ascii="Times New Roman" w:eastAsia="Times New Roman" w:hAnsi="Times New Roman" w:cs="Times New Roman"/>
          <w:sz w:val="28"/>
          <w:szCs w:val="28"/>
          <w:lang w:eastAsia="uk-UA"/>
        </w:rPr>
        <w:t xml:space="preserve">вмісту біологічно активних речовин (БАР) </w:t>
      </w:r>
      <w:r w:rsidR="000B4B6F" w:rsidRPr="00CF22AE">
        <w:rPr>
          <w:rFonts w:ascii="Times New Roman" w:eastAsia="Times New Roman" w:hAnsi="Times New Roman" w:cs="Times New Roman"/>
          <w:sz w:val="28"/>
          <w:szCs w:val="28"/>
          <w:lang w:eastAsia="uk-UA"/>
        </w:rPr>
        <w:t>та механізму гепатопротекторної дії, але є такі які потребу</w:t>
      </w:r>
      <w:r w:rsidR="004A2E1A" w:rsidRPr="00CF22AE">
        <w:rPr>
          <w:rFonts w:ascii="Times New Roman" w:eastAsia="Times New Roman" w:hAnsi="Times New Roman" w:cs="Times New Roman"/>
          <w:sz w:val="28"/>
          <w:szCs w:val="28"/>
          <w:lang w:eastAsia="uk-UA"/>
        </w:rPr>
        <w:t>ю</w:t>
      </w:r>
      <w:r w:rsidR="000B4B6F" w:rsidRPr="00CF22AE">
        <w:rPr>
          <w:rFonts w:ascii="Times New Roman" w:eastAsia="Times New Roman" w:hAnsi="Times New Roman" w:cs="Times New Roman"/>
          <w:sz w:val="28"/>
          <w:szCs w:val="28"/>
          <w:lang w:eastAsia="uk-UA"/>
        </w:rPr>
        <w:t>ть</w:t>
      </w:r>
      <w:r w:rsidR="004A2E1A" w:rsidRPr="00CF22AE">
        <w:rPr>
          <w:rFonts w:ascii="Times New Roman" w:eastAsia="Times New Roman" w:hAnsi="Times New Roman" w:cs="Times New Roman"/>
          <w:sz w:val="28"/>
          <w:szCs w:val="28"/>
          <w:lang w:eastAsia="uk-UA"/>
        </w:rPr>
        <w:t xml:space="preserve"> наукових</w:t>
      </w:r>
      <w:r w:rsidR="000B4B6F" w:rsidRPr="00CF22AE">
        <w:rPr>
          <w:rFonts w:ascii="Times New Roman" w:eastAsia="Times New Roman" w:hAnsi="Times New Roman" w:cs="Times New Roman"/>
          <w:sz w:val="28"/>
          <w:szCs w:val="28"/>
          <w:lang w:eastAsia="uk-UA"/>
        </w:rPr>
        <w:t xml:space="preserve"> досліджень.</w:t>
      </w:r>
    </w:p>
    <w:p w:rsidR="007A76C3" w:rsidRPr="00CF22AE" w:rsidRDefault="007A76C3" w:rsidP="00DB7D0E">
      <w:pPr>
        <w:pStyle w:val="a3"/>
        <w:spacing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t xml:space="preserve">Тому пошук та вивчення нових </w:t>
      </w:r>
      <w:r w:rsidR="008556C7" w:rsidRPr="00CF22AE">
        <w:rPr>
          <w:rFonts w:ascii="Times New Roman" w:eastAsia="Times New Roman" w:hAnsi="Times New Roman" w:cs="Times New Roman"/>
          <w:sz w:val="28"/>
          <w:szCs w:val="28"/>
          <w:lang w:eastAsia="uk-UA"/>
        </w:rPr>
        <w:t>рослин з гепатопротекторною дією</w:t>
      </w:r>
      <w:r w:rsidRPr="00CF22AE">
        <w:rPr>
          <w:rFonts w:ascii="Times New Roman" w:eastAsia="Times New Roman" w:hAnsi="Times New Roman" w:cs="Times New Roman"/>
          <w:sz w:val="28"/>
          <w:szCs w:val="28"/>
          <w:lang w:eastAsia="uk-UA"/>
        </w:rPr>
        <w:t xml:space="preserve"> є </w:t>
      </w:r>
      <w:r w:rsidR="008556C7" w:rsidRPr="00CF22AE">
        <w:rPr>
          <w:rFonts w:ascii="Times New Roman" w:eastAsia="Times New Roman" w:hAnsi="Times New Roman" w:cs="Times New Roman"/>
          <w:sz w:val="28"/>
          <w:szCs w:val="28"/>
          <w:lang w:eastAsia="uk-UA"/>
        </w:rPr>
        <w:t>актуальним завданням сьогодення</w:t>
      </w:r>
      <w:r w:rsidRPr="00CF22AE">
        <w:rPr>
          <w:rFonts w:ascii="Times New Roman" w:eastAsia="Times New Roman" w:hAnsi="Times New Roman" w:cs="Times New Roman"/>
          <w:sz w:val="28"/>
          <w:szCs w:val="28"/>
          <w:lang w:eastAsia="uk-UA"/>
        </w:rPr>
        <w:t>.</w:t>
      </w:r>
    </w:p>
    <w:p w:rsidR="000168EA" w:rsidRPr="00CF22AE" w:rsidRDefault="0028102A" w:rsidP="00DB7D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t>Об’єкт нашого дослідження пирій повзучий</w:t>
      </w:r>
      <w:r w:rsidR="00C72AA3" w:rsidRPr="00CF22AE">
        <w:rPr>
          <w:rFonts w:ascii="Times New Roman" w:eastAsia="Times New Roman" w:hAnsi="Times New Roman" w:cs="Times New Roman"/>
          <w:sz w:val="28"/>
          <w:szCs w:val="28"/>
          <w:lang w:eastAsia="uk-UA"/>
        </w:rPr>
        <w:t xml:space="preserve">, а </w:t>
      </w:r>
      <w:r>
        <w:rPr>
          <w:rFonts w:ascii="Times New Roman" w:eastAsia="Times New Roman" w:hAnsi="Times New Roman" w:cs="Times New Roman"/>
          <w:sz w:val="28"/>
          <w:szCs w:val="28"/>
          <w:lang w:eastAsia="uk-UA"/>
        </w:rPr>
        <w:t xml:space="preserve">саме на надземна його частина. </w:t>
      </w:r>
      <w:r w:rsidR="00176424" w:rsidRPr="00CF22AE">
        <w:rPr>
          <w:rFonts w:ascii="Times New Roman" w:eastAsia="Times New Roman" w:hAnsi="Times New Roman" w:cs="Times New Roman"/>
          <w:sz w:val="28"/>
          <w:szCs w:val="28"/>
          <w:lang w:eastAsia="uk-UA"/>
        </w:rPr>
        <w:t xml:space="preserve">В науковій літературі є свідчення використання пирію повзучого як імуномодулятора, антиоксиданта, </w:t>
      </w:r>
      <w:r w:rsidR="00C72AA3" w:rsidRPr="00CF22AE">
        <w:rPr>
          <w:rFonts w:ascii="Times New Roman" w:eastAsia="Times New Roman" w:hAnsi="Times New Roman" w:cs="Times New Roman"/>
          <w:sz w:val="28"/>
          <w:szCs w:val="28"/>
          <w:lang w:eastAsia="uk-UA"/>
        </w:rPr>
        <w:t xml:space="preserve">він </w:t>
      </w:r>
      <w:r>
        <w:rPr>
          <w:rFonts w:ascii="Times New Roman" w:eastAsia="Times New Roman" w:hAnsi="Times New Roman" w:cs="Times New Roman"/>
          <w:sz w:val="28"/>
          <w:szCs w:val="28"/>
          <w:lang w:eastAsia="uk-UA"/>
        </w:rPr>
        <w:t>має</w:t>
      </w:r>
      <w:r w:rsidR="009A2D70" w:rsidRPr="00CF22AE">
        <w:rPr>
          <w:rFonts w:ascii="Times New Roman" w:eastAsia="Times New Roman" w:hAnsi="Times New Roman" w:cs="Times New Roman"/>
          <w:sz w:val="28"/>
          <w:szCs w:val="28"/>
          <w:lang w:eastAsia="uk-UA"/>
        </w:rPr>
        <w:t xml:space="preserve"> </w:t>
      </w:r>
      <w:r w:rsidR="00176424" w:rsidRPr="00CF22AE">
        <w:rPr>
          <w:rFonts w:ascii="Times New Roman" w:eastAsia="Times New Roman" w:hAnsi="Times New Roman" w:cs="Times New Roman"/>
          <w:sz w:val="28"/>
          <w:szCs w:val="28"/>
          <w:lang w:eastAsia="uk-UA"/>
        </w:rPr>
        <w:t>антибактеріальн</w:t>
      </w:r>
      <w:r>
        <w:rPr>
          <w:rFonts w:ascii="Times New Roman" w:eastAsia="Times New Roman" w:hAnsi="Times New Roman" w:cs="Times New Roman"/>
          <w:sz w:val="28"/>
          <w:szCs w:val="28"/>
          <w:lang w:eastAsia="uk-UA"/>
        </w:rPr>
        <w:t>і властивості</w:t>
      </w:r>
      <w:r w:rsidR="00176424" w:rsidRPr="00CF22AE">
        <w:rPr>
          <w:rFonts w:ascii="Times New Roman" w:eastAsia="Times New Roman" w:hAnsi="Times New Roman" w:cs="Times New Roman"/>
          <w:sz w:val="28"/>
          <w:szCs w:val="28"/>
          <w:lang w:eastAsia="uk-UA"/>
        </w:rPr>
        <w:t>, його використовують при підвищеній кислотності, збоях у роботі нирок</w:t>
      </w:r>
      <w:r w:rsidR="009A2D70" w:rsidRPr="00CF22AE">
        <w:rPr>
          <w:rFonts w:ascii="Times New Roman" w:eastAsia="Times New Roman" w:hAnsi="Times New Roman" w:cs="Times New Roman"/>
          <w:sz w:val="28"/>
          <w:szCs w:val="28"/>
          <w:lang w:eastAsia="uk-UA"/>
        </w:rPr>
        <w:t xml:space="preserve">, а також </w:t>
      </w:r>
      <w:r w:rsidR="00C72AA3" w:rsidRPr="00CF22AE">
        <w:rPr>
          <w:rFonts w:ascii="Times New Roman" w:eastAsia="Times New Roman" w:hAnsi="Times New Roman" w:cs="Times New Roman"/>
          <w:sz w:val="28"/>
          <w:szCs w:val="28"/>
          <w:lang w:eastAsia="uk-UA"/>
        </w:rPr>
        <w:t>дана лікарська рослина сировина (ЛРС)</w:t>
      </w:r>
      <w:r w:rsidR="00176424" w:rsidRPr="00CF22AE">
        <w:rPr>
          <w:rFonts w:ascii="Times New Roman" w:eastAsia="Times New Roman" w:hAnsi="Times New Roman" w:cs="Times New Roman"/>
          <w:sz w:val="28"/>
          <w:szCs w:val="28"/>
          <w:lang w:eastAsia="uk-UA"/>
        </w:rPr>
        <w:t xml:space="preserve"> має властивість оптимізувати рівень цукру в крові</w:t>
      </w:r>
      <w:r w:rsidR="00DB7D0E">
        <w:rPr>
          <w:rFonts w:ascii="Times New Roman" w:eastAsia="Times New Roman" w:hAnsi="Times New Roman" w:cs="Times New Roman"/>
          <w:sz w:val="28"/>
          <w:szCs w:val="28"/>
          <w:lang w:eastAsia="uk-UA"/>
        </w:rPr>
        <w:t xml:space="preserve"> [9 – 11</w:t>
      </w:r>
      <w:r w:rsidR="009A2D70" w:rsidRPr="00CF22AE">
        <w:rPr>
          <w:rFonts w:ascii="Times New Roman" w:eastAsia="Times New Roman" w:hAnsi="Times New Roman" w:cs="Times New Roman"/>
          <w:sz w:val="28"/>
          <w:szCs w:val="28"/>
          <w:lang w:eastAsia="uk-UA"/>
        </w:rPr>
        <w:t>]</w:t>
      </w:r>
      <w:r w:rsidR="00176424" w:rsidRPr="00CF22AE">
        <w:rPr>
          <w:rFonts w:ascii="Times New Roman" w:eastAsia="Times New Roman" w:hAnsi="Times New Roman" w:cs="Times New Roman"/>
          <w:sz w:val="28"/>
          <w:szCs w:val="28"/>
          <w:lang w:eastAsia="uk-UA"/>
        </w:rPr>
        <w:t>.</w:t>
      </w:r>
    </w:p>
    <w:p w:rsidR="00174D70" w:rsidRPr="00CF22AE" w:rsidRDefault="008556C7" w:rsidP="00DB7D0E">
      <w:pPr>
        <w:pStyle w:val="a3"/>
        <w:spacing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Молодій трав</w:t>
      </w:r>
      <w:r w:rsidR="00176424" w:rsidRPr="00CF22AE">
        <w:rPr>
          <w:rFonts w:ascii="Times New Roman" w:eastAsia="Times New Roman" w:hAnsi="Times New Roman" w:cs="Times New Roman"/>
          <w:sz w:val="28"/>
          <w:szCs w:val="28"/>
          <w:lang w:eastAsia="uk-UA"/>
        </w:rPr>
        <w:t>і</w:t>
      </w:r>
      <w:r w:rsidR="0028102A">
        <w:rPr>
          <w:rFonts w:ascii="Times New Roman" w:eastAsia="Times New Roman" w:hAnsi="Times New Roman" w:cs="Times New Roman"/>
          <w:sz w:val="28"/>
          <w:szCs w:val="28"/>
          <w:lang w:eastAsia="uk-UA"/>
        </w:rPr>
        <w:t xml:space="preserve"> пирію повзучого</w:t>
      </w:r>
      <w:r w:rsidRPr="00CF22AE">
        <w:rPr>
          <w:rFonts w:ascii="Times New Roman" w:eastAsia="Times New Roman" w:hAnsi="Times New Roman" w:cs="Times New Roman"/>
          <w:sz w:val="28"/>
          <w:szCs w:val="28"/>
          <w:lang w:eastAsia="uk-UA"/>
        </w:rPr>
        <w:t xml:space="preserve"> приписують ши</w:t>
      </w:r>
      <w:r w:rsidR="007E0D07" w:rsidRPr="00CF22AE">
        <w:rPr>
          <w:rFonts w:ascii="Times New Roman" w:eastAsia="Times New Roman" w:hAnsi="Times New Roman" w:cs="Times New Roman"/>
          <w:sz w:val="28"/>
          <w:szCs w:val="28"/>
          <w:lang w:eastAsia="uk-UA"/>
        </w:rPr>
        <w:t>р</w:t>
      </w:r>
      <w:r w:rsidRPr="00CF22AE">
        <w:rPr>
          <w:rFonts w:ascii="Times New Roman" w:eastAsia="Times New Roman" w:hAnsi="Times New Roman" w:cs="Times New Roman"/>
          <w:sz w:val="28"/>
          <w:szCs w:val="28"/>
          <w:lang w:eastAsia="uk-UA"/>
        </w:rPr>
        <w:t>окий спектр</w:t>
      </w:r>
      <w:r w:rsidR="007E0D07" w:rsidRPr="00CF22AE">
        <w:rPr>
          <w:rFonts w:ascii="Times New Roman" w:eastAsia="Times New Roman" w:hAnsi="Times New Roman" w:cs="Times New Roman"/>
          <w:sz w:val="28"/>
          <w:szCs w:val="28"/>
          <w:lang w:eastAsia="uk-UA"/>
        </w:rPr>
        <w:t xml:space="preserve"> властивостей, який залежить від вмісту </w:t>
      </w:r>
      <w:r w:rsidR="0028102A">
        <w:rPr>
          <w:rFonts w:ascii="Times New Roman" w:eastAsia="Times New Roman" w:hAnsi="Times New Roman" w:cs="Times New Roman"/>
          <w:sz w:val="28"/>
          <w:szCs w:val="28"/>
          <w:lang w:eastAsia="uk-UA"/>
        </w:rPr>
        <w:t xml:space="preserve">комплексів БАР </w:t>
      </w:r>
      <w:r w:rsidR="007E0D07" w:rsidRPr="00CF22AE">
        <w:rPr>
          <w:rFonts w:ascii="Times New Roman" w:eastAsia="Times New Roman" w:hAnsi="Times New Roman" w:cs="Times New Roman"/>
          <w:sz w:val="28"/>
          <w:szCs w:val="28"/>
          <w:lang w:eastAsia="uk-UA"/>
        </w:rPr>
        <w:t>: хлорофіл, флавоноїди та вітаміни С і Е та інших [</w:t>
      </w:r>
      <w:r w:rsidR="009A2D70" w:rsidRPr="00CF22AE">
        <w:rPr>
          <w:rFonts w:ascii="Times New Roman" w:eastAsia="Times New Roman" w:hAnsi="Times New Roman" w:cs="Times New Roman"/>
          <w:sz w:val="28"/>
          <w:szCs w:val="28"/>
          <w:lang w:eastAsia="uk-UA"/>
        </w:rPr>
        <w:t>1</w:t>
      </w:r>
      <w:r w:rsidR="00D27767" w:rsidRPr="00CF22AE">
        <w:rPr>
          <w:rFonts w:ascii="Times New Roman" w:eastAsia="Times New Roman" w:hAnsi="Times New Roman" w:cs="Times New Roman"/>
          <w:sz w:val="28"/>
          <w:szCs w:val="28"/>
          <w:lang w:eastAsia="uk-UA"/>
        </w:rPr>
        <w:t>2</w:t>
      </w:r>
      <w:r w:rsidR="007E0D07" w:rsidRPr="00CF22AE">
        <w:rPr>
          <w:rFonts w:ascii="Times New Roman" w:eastAsia="Times New Roman" w:hAnsi="Times New Roman" w:cs="Times New Roman"/>
          <w:sz w:val="28"/>
          <w:szCs w:val="28"/>
          <w:lang w:eastAsia="uk-UA"/>
        </w:rPr>
        <w:t>].</w:t>
      </w:r>
      <w:r w:rsidR="00D27767" w:rsidRPr="00CF22AE">
        <w:rPr>
          <w:rFonts w:ascii="Times New Roman" w:eastAsia="Times New Roman" w:hAnsi="Times New Roman" w:cs="Times New Roman"/>
          <w:sz w:val="28"/>
          <w:szCs w:val="28"/>
          <w:lang w:eastAsia="uk-UA"/>
        </w:rPr>
        <w:t xml:space="preserve"> Наукові дослідження підтверджують, що приготовленні екстракти на основі трави пирію повзучого </w:t>
      </w:r>
      <w:r w:rsidR="008139FB">
        <w:rPr>
          <w:rFonts w:ascii="Times New Roman" w:eastAsia="Times New Roman" w:hAnsi="Times New Roman" w:cs="Times New Roman"/>
          <w:sz w:val="28"/>
          <w:szCs w:val="28"/>
          <w:lang w:eastAsia="uk-UA"/>
        </w:rPr>
        <w:t>мають потужні гепатопротектоні</w:t>
      </w:r>
      <w:r w:rsidR="00D27767" w:rsidRPr="00CF22AE">
        <w:rPr>
          <w:rFonts w:ascii="Times New Roman" w:eastAsia="Times New Roman" w:hAnsi="Times New Roman" w:cs="Times New Roman"/>
          <w:sz w:val="28"/>
          <w:szCs w:val="28"/>
          <w:lang w:eastAsia="uk-UA"/>
        </w:rPr>
        <w:t xml:space="preserve"> властивос</w:t>
      </w:r>
      <w:r w:rsidR="008139FB">
        <w:rPr>
          <w:rFonts w:ascii="Times New Roman" w:eastAsia="Times New Roman" w:hAnsi="Times New Roman" w:cs="Times New Roman"/>
          <w:sz w:val="28"/>
          <w:szCs w:val="28"/>
          <w:lang w:eastAsia="uk-UA"/>
        </w:rPr>
        <w:t>ті</w:t>
      </w:r>
      <w:r w:rsidR="00D27767" w:rsidRPr="00CF22AE">
        <w:rPr>
          <w:rFonts w:ascii="Times New Roman" w:eastAsia="Times New Roman" w:hAnsi="Times New Roman" w:cs="Times New Roman"/>
          <w:sz w:val="28"/>
          <w:szCs w:val="28"/>
          <w:lang w:eastAsia="uk-UA"/>
        </w:rPr>
        <w:t xml:space="preserve"> [13], а отже дана</w:t>
      </w:r>
      <w:r w:rsidR="0028102A">
        <w:rPr>
          <w:rFonts w:ascii="Times New Roman" w:eastAsia="Times New Roman" w:hAnsi="Times New Roman" w:cs="Times New Roman"/>
          <w:sz w:val="28"/>
          <w:szCs w:val="28"/>
          <w:lang w:eastAsia="uk-UA"/>
        </w:rPr>
        <w:t xml:space="preserve"> </w:t>
      </w:r>
      <w:r w:rsidR="00D27767" w:rsidRPr="00CF22AE">
        <w:rPr>
          <w:rFonts w:ascii="Times New Roman" w:eastAsia="Times New Roman" w:hAnsi="Times New Roman" w:cs="Times New Roman"/>
          <w:sz w:val="28"/>
          <w:szCs w:val="28"/>
          <w:lang w:eastAsia="uk-UA"/>
        </w:rPr>
        <w:t>ЛРС є перспективною для отримання різних лікарських форм (ЛФ) з метою профілактики та лікування різних патологій печінки.</w:t>
      </w:r>
    </w:p>
    <w:p w:rsidR="009440F1" w:rsidRPr="00CF22AE" w:rsidRDefault="009440F1" w:rsidP="00071B13">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b/>
          <w:sz w:val="28"/>
          <w:szCs w:val="28"/>
        </w:rPr>
        <w:t>Мета роботи</w:t>
      </w:r>
      <w:r w:rsidR="00E82C04">
        <w:rPr>
          <w:rFonts w:ascii="Times New Roman" w:hAnsi="Times New Roman" w:cs="Times New Roman"/>
          <w:sz w:val="28"/>
          <w:szCs w:val="28"/>
        </w:rPr>
        <w:t xml:space="preserve"> – </w:t>
      </w:r>
      <w:r w:rsidR="00E82C04" w:rsidRPr="00E82C04">
        <w:rPr>
          <w:rFonts w:ascii="Times New Roman" w:hAnsi="Times New Roman" w:cs="Times New Roman"/>
          <w:sz w:val="28"/>
          <w:szCs w:val="28"/>
        </w:rPr>
        <w:t>розробити склад допо</w:t>
      </w:r>
      <w:r w:rsidR="00071B13">
        <w:rPr>
          <w:rFonts w:ascii="Times New Roman" w:hAnsi="Times New Roman" w:cs="Times New Roman"/>
          <w:sz w:val="28"/>
          <w:szCs w:val="28"/>
        </w:rPr>
        <w:t xml:space="preserve">міжних речовин гранул на основі </w:t>
      </w:r>
      <w:r w:rsidR="00E82C04" w:rsidRPr="00E82C04">
        <w:rPr>
          <w:rFonts w:ascii="Times New Roman" w:hAnsi="Times New Roman" w:cs="Times New Roman"/>
          <w:sz w:val="28"/>
          <w:szCs w:val="28"/>
        </w:rPr>
        <w:t>фітосубстанції пирію повзучого</w:t>
      </w:r>
      <w:r w:rsidR="007E3477">
        <w:rPr>
          <w:rFonts w:ascii="Times New Roman" w:hAnsi="Times New Roman" w:cs="Times New Roman"/>
          <w:sz w:val="28"/>
          <w:szCs w:val="28"/>
        </w:rPr>
        <w:t xml:space="preserve"> трави (ФППТ)</w:t>
      </w:r>
      <w:r w:rsidR="00E82C04">
        <w:rPr>
          <w:rFonts w:ascii="Times New Roman" w:hAnsi="Times New Roman" w:cs="Times New Roman"/>
          <w:sz w:val="28"/>
          <w:szCs w:val="28"/>
        </w:rPr>
        <w:t>.</w:t>
      </w:r>
    </w:p>
    <w:p w:rsidR="009440F1" w:rsidRPr="00CF22AE" w:rsidRDefault="009440F1" w:rsidP="00071B13">
      <w:pPr>
        <w:pStyle w:val="a3"/>
        <w:spacing w:line="360" w:lineRule="auto"/>
        <w:jc w:val="both"/>
        <w:rPr>
          <w:rFonts w:ascii="Times New Roman" w:hAnsi="Times New Roman" w:cs="Times New Roman"/>
          <w:sz w:val="28"/>
          <w:szCs w:val="28"/>
        </w:rPr>
      </w:pPr>
      <w:r w:rsidRPr="00CF22AE">
        <w:rPr>
          <w:rFonts w:ascii="Times New Roman" w:hAnsi="Times New Roman" w:cs="Times New Roman"/>
          <w:sz w:val="28"/>
          <w:szCs w:val="28"/>
        </w:rPr>
        <w:t xml:space="preserve">Для досягнення мети </w:t>
      </w:r>
      <w:r w:rsidR="00247572">
        <w:rPr>
          <w:rFonts w:ascii="Times New Roman" w:hAnsi="Times New Roman" w:cs="Times New Roman"/>
          <w:sz w:val="28"/>
          <w:szCs w:val="28"/>
        </w:rPr>
        <w:t>необхідно було виконати наступні</w:t>
      </w:r>
      <w:r w:rsidRPr="00CF22AE">
        <w:rPr>
          <w:rFonts w:ascii="Times New Roman" w:hAnsi="Times New Roman" w:cs="Times New Roman"/>
          <w:sz w:val="28"/>
          <w:szCs w:val="28"/>
        </w:rPr>
        <w:t xml:space="preserve"> </w:t>
      </w:r>
      <w:r w:rsidRPr="00CF22AE">
        <w:rPr>
          <w:rFonts w:ascii="Times New Roman" w:hAnsi="Times New Roman" w:cs="Times New Roman"/>
          <w:b/>
          <w:i/>
          <w:sz w:val="28"/>
          <w:szCs w:val="28"/>
        </w:rPr>
        <w:t>завдання</w:t>
      </w:r>
      <w:r w:rsidRPr="00CF22AE">
        <w:rPr>
          <w:rFonts w:ascii="Times New Roman" w:hAnsi="Times New Roman" w:cs="Times New Roman"/>
          <w:sz w:val="28"/>
          <w:szCs w:val="28"/>
        </w:rPr>
        <w:t>:</w:t>
      </w:r>
    </w:p>
    <w:p w:rsidR="00AE6757" w:rsidRPr="00CF22AE" w:rsidRDefault="00AE6757" w:rsidP="00071B13">
      <w:pPr>
        <w:pStyle w:val="a3"/>
        <w:numPr>
          <w:ilvl w:val="0"/>
          <w:numId w:val="19"/>
        </w:numPr>
        <w:spacing w:line="360" w:lineRule="auto"/>
        <w:jc w:val="both"/>
        <w:rPr>
          <w:rFonts w:ascii="Times New Roman" w:hAnsi="Times New Roman" w:cs="Times New Roman"/>
          <w:sz w:val="28"/>
          <w:szCs w:val="28"/>
        </w:rPr>
      </w:pPr>
      <w:r w:rsidRPr="00CF22AE">
        <w:rPr>
          <w:rFonts w:ascii="Times New Roman" w:hAnsi="Times New Roman" w:cs="Times New Roman"/>
          <w:sz w:val="28"/>
          <w:szCs w:val="28"/>
        </w:rPr>
        <w:t>проаналізувати та систематизувати дані літературних джерел щодо проблем захворювання печінки</w:t>
      </w:r>
      <w:r w:rsidR="00B34FA3" w:rsidRPr="00CF22AE">
        <w:rPr>
          <w:rFonts w:ascii="Times New Roman" w:hAnsi="Times New Roman" w:cs="Times New Roman"/>
          <w:sz w:val="28"/>
          <w:szCs w:val="28"/>
        </w:rPr>
        <w:t xml:space="preserve"> </w:t>
      </w:r>
      <w:r w:rsidRPr="00CF22AE">
        <w:rPr>
          <w:rFonts w:ascii="Times New Roman" w:hAnsi="Times New Roman" w:cs="Times New Roman"/>
          <w:sz w:val="28"/>
          <w:szCs w:val="28"/>
        </w:rPr>
        <w:t>в Україні та світі;</w:t>
      </w:r>
    </w:p>
    <w:p w:rsidR="009440F1" w:rsidRPr="00CF22AE" w:rsidRDefault="009440F1" w:rsidP="00071B13">
      <w:pPr>
        <w:pStyle w:val="a3"/>
        <w:numPr>
          <w:ilvl w:val="0"/>
          <w:numId w:val="19"/>
        </w:numPr>
        <w:spacing w:line="360" w:lineRule="auto"/>
        <w:jc w:val="both"/>
        <w:rPr>
          <w:rFonts w:ascii="Times New Roman" w:hAnsi="Times New Roman" w:cs="Times New Roman"/>
          <w:sz w:val="28"/>
          <w:szCs w:val="28"/>
        </w:rPr>
      </w:pPr>
      <w:r w:rsidRPr="00CF22AE">
        <w:rPr>
          <w:rFonts w:ascii="Times New Roman" w:hAnsi="Times New Roman" w:cs="Times New Roman"/>
          <w:sz w:val="28"/>
          <w:szCs w:val="28"/>
        </w:rPr>
        <w:t xml:space="preserve">проаналізувати та узагальнити сучасні літературні дані та дані електронних посилань всесвітньої мережі Internet щодо поширення, властивостей, а також застосування </w:t>
      </w:r>
      <w:r w:rsidR="00676045" w:rsidRPr="00CF22AE">
        <w:rPr>
          <w:rFonts w:ascii="Times New Roman" w:hAnsi="Times New Roman" w:cs="Times New Roman"/>
          <w:sz w:val="28"/>
          <w:szCs w:val="28"/>
        </w:rPr>
        <w:t>пирію повзучого</w:t>
      </w:r>
      <w:r w:rsidRPr="00CF22AE">
        <w:rPr>
          <w:rFonts w:ascii="Times New Roman" w:hAnsi="Times New Roman" w:cs="Times New Roman"/>
          <w:sz w:val="28"/>
          <w:szCs w:val="28"/>
        </w:rPr>
        <w:t xml:space="preserve"> в медичній і фармацевтичній практиках;</w:t>
      </w:r>
    </w:p>
    <w:p w:rsidR="009440F1" w:rsidRPr="00CF22AE" w:rsidRDefault="009440F1" w:rsidP="00071B13">
      <w:pPr>
        <w:pStyle w:val="a3"/>
        <w:numPr>
          <w:ilvl w:val="0"/>
          <w:numId w:val="19"/>
        </w:numPr>
        <w:spacing w:line="360" w:lineRule="auto"/>
        <w:jc w:val="both"/>
        <w:rPr>
          <w:rFonts w:ascii="Times New Roman" w:hAnsi="Times New Roman" w:cs="Times New Roman"/>
          <w:sz w:val="28"/>
          <w:szCs w:val="28"/>
        </w:rPr>
      </w:pPr>
      <w:r w:rsidRPr="00CF22AE">
        <w:rPr>
          <w:rFonts w:ascii="Times New Roman" w:hAnsi="Times New Roman" w:cs="Times New Roman"/>
          <w:sz w:val="28"/>
          <w:szCs w:val="28"/>
        </w:rPr>
        <w:t xml:space="preserve">провести маркетинговий аналіз вітчизняного фармацевтичного ринку </w:t>
      </w:r>
      <w:r w:rsidR="00557CB9" w:rsidRPr="00CF22AE">
        <w:rPr>
          <w:rFonts w:ascii="Times New Roman" w:hAnsi="Times New Roman" w:cs="Times New Roman"/>
          <w:sz w:val="28"/>
          <w:szCs w:val="28"/>
        </w:rPr>
        <w:t xml:space="preserve">гепатопротекторних </w:t>
      </w:r>
      <w:r w:rsidR="00247572">
        <w:rPr>
          <w:rFonts w:ascii="Times New Roman" w:hAnsi="Times New Roman" w:cs="Times New Roman"/>
          <w:sz w:val="28"/>
          <w:szCs w:val="28"/>
        </w:rPr>
        <w:t>ЛЗ</w:t>
      </w:r>
      <w:r w:rsidR="00557CB9" w:rsidRPr="00CF22AE">
        <w:rPr>
          <w:rFonts w:ascii="Times New Roman" w:hAnsi="Times New Roman" w:cs="Times New Roman"/>
          <w:sz w:val="28"/>
          <w:szCs w:val="28"/>
        </w:rPr>
        <w:t xml:space="preserve"> </w:t>
      </w:r>
      <w:r w:rsidRPr="00CF22AE">
        <w:rPr>
          <w:rFonts w:ascii="Times New Roman" w:hAnsi="Times New Roman" w:cs="Times New Roman"/>
          <w:sz w:val="28"/>
          <w:szCs w:val="28"/>
        </w:rPr>
        <w:t xml:space="preserve"> на основі </w:t>
      </w:r>
      <w:r w:rsidR="00247572">
        <w:rPr>
          <w:rFonts w:ascii="Times New Roman" w:hAnsi="Times New Roman" w:cs="Times New Roman"/>
          <w:sz w:val="28"/>
          <w:szCs w:val="28"/>
        </w:rPr>
        <w:t>ЛРС;</w:t>
      </w:r>
    </w:p>
    <w:p w:rsidR="00247572" w:rsidRDefault="00B34FA3" w:rsidP="00071B13">
      <w:pPr>
        <w:pStyle w:val="a3"/>
        <w:numPr>
          <w:ilvl w:val="0"/>
          <w:numId w:val="19"/>
        </w:numPr>
        <w:spacing w:line="360" w:lineRule="auto"/>
        <w:jc w:val="both"/>
        <w:rPr>
          <w:rFonts w:ascii="Times New Roman" w:hAnsi="Times New Roman" w:cs="Times New Roman"/>
          <w:sz w:val="28"/>
          <w:szCs w:val="28"/>
        </w:rPr>
      </w:pPr>
      <w:r w:rsidRPr="00CF22AE">
        <w:rPr>
          <w:rFonts w:ascii="Times New Roman" w:hAnsi="Times New Roman" w:cs="Times New Roman"/>
          <w:sz w:val="28"/>
          <w:szCs w:val="28"/>
        </w:rPr>
        <w:t xml:space="preserve">використовуючи методи </w:t>
      </w:r>
      <w:r w:rsidR="00247572">
        <w:rPr>
          <w:rFonts w:ascii="Times New Roman" w:hAnsi="Times New Roman" w:cs="Times New Roman"/>
          <w:sz w:val="28"/>
          <w:szCs w:val="28"/>
        </w:rPr>
        <w:t>математичного планування експеременту (</w:t>
      </w:r>
      <w:r w:rsidRPr="00CF22AE">
        <w:rPr>
          <w:rFonts w:ascii="Times New Roman" w:hAnsi="Times New Roman" w:cs="Times New Roman"/>
          <w:sz w:val="28"/>
          <w:szCs w:val="28"/>
        </w:rPr>
        <w:t>МПЕ</w:t>
      </w:r>
      <w:r w:rsidR="00247572">
        <w:rPr>
          <w:rFonts w:ascii="Times New Roman" w:hAnsi="Times New Roman" w:cs="Times New Roman"/>
          <w:sz w:val="28"/>
          <w:szCs w:val="28"/>
        </w:rPr>
        <w:t xml:space="preserve">) </w:t>
      </w:r>
      <w:r w:rsidRPr="00CF22AE">
        <w:rPr>
          <w:rFonts w:ascii="Times New Roman" w:hAnsi="Times New Roman" w:cs="Times New Roman"/>
          <w:sz w:val="28"/>
          <w:szCs w:val="28"/>
        </w:rPr>
        <w:t>, вивчити вплив ДР на вл</w:t>
      </w:r>
      <w:r w:rsidR="00247572">
        <w:rPr>
          <w:rFonts w:ascii="Times New Roman" w:hAnsi="Times New Roman" w:cs="Times New Roman"/>
          <w:sz w:val="28"/>
          <w:szCs w:val="28"/>
        </w:rPr>
        <w:t>астивості гранул на основі</w:t>
      </w:r>
      <w:r w:rsidR="007E3477">
        <w:rPr>
          <w:rFonts w:ascii="Times New Roman" w:hAnsi="Times New Roman" w:cs="Times New Roman"/>
          <w:sz w:val="28"/>
          <w:szCs w:val="28"/>
        </w:rPr>
        <w:t xml:space="preserve"> ФППТ)</w:t>
      </w:r>
      <w:r w:rsidRPr="00CF22AE">
        <w:rPr>
          <w:rFonts w:ascii="Times New Roman" w:hAnsi="Times New Roman" w:cs="Times New Roman"/>
          <w:sz w:val="28"/>
          <w:szCs w:val="28"/>
        </w:rPr>
        <w:t>та втановити оптимальн</w:t>
      </w:r>
      <w:r w:rsidR="00247572">
        <w:rPr>
          <w:rFonts w:ascii="Times New Roman" w:hAnsi="Times New Roman" w:cs="Times New Roman"/>
          <w:sz w:val="28"/>
          <w:szCs w:val="28"/>
        </w:rPr>
        <w:t>і ДР з метою обгрунтування складу</w:t>
      </w:r>
    </w:p>
    <w:p w:rsidR="00B34FA3" w:rsidRPr="00CF22AE" w:rsidRDefault="00DE11A2" w:rsidP="00071B13">
      <w:pPr>
        <w:pStyle w:val="a3"/>
        <w:numPr>
          <w:ilvl w:val="0"/>
          <w:numId w:val="19"/>
        </w:numPr>
        <w:spacing w:line="360" w:lineRule="auto"/>
        <w:jc w:val="both"/>
        <w:rPr>
          <w:rFonts w:ascii="Times New Roman" w:hAnsi="Times New Roman" w:cs="Times New Roman"/>
          <w:sz w:val="28"/>
          <w:szCs w:val="28"/>
        </w:rPr>
      </w:pPr>
      <w:r>
        <w:rPr>
          <w:rFonts w:ascii="Times New Roman" w:hAnsi="Times New Roman" w:cs="Times New Roman"/>
          <w:sz w:val="28"/>
          <w:szCs w:val="28"/>
        </w:rPr>
        <w:t>розробити склад ДР гранул на основі ФППТ</w:t>
      </w:r>
      <w:r w:rsidR="00982F04">
        <w:rPr>
          <w:rFonts w:ascii="Times New Roman" w:hAnsi="Times New Roman" w:cs="Times New Roman"/>
          <w:sz w:val="28"/>
          <w:szCs w:val="28"/>
        </w:rPr>
        <w:t>.</w:t>
      </w:r>
    </w:p>
    <w:p w:rsidR="00071B13" w:rsidRDefault="009440F1" w:rsidP="00071B13">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b/>
          <w:sz w:val="28"/>
          <w:szCs w:val="28"/>
        </w:rPr>
        <w:t>Апробація результатів роботи.</w:t>
      </w:r>
      <w:r w:rsidRPr="00CF22AE">
        <w:rPr>
          <w:rFonts w:ascii="Times New Roman" w:eastAsia="Times New Roman" w:hAnsi="Times New Roman" w:cs="Times New Roman"/>
          <w:sz w:val="28"/>
          <w:szCs w:val="28"/>
        </w:rPr>
        <w:t xml:space="preserve"> </w:t>
      </w:r>
      <w:r w:rsidR="00071B13">
        <w:rPr>
          <w:rFonts w:ascii="Times New Roman" w:eastAsia="Times New Roman" w:hAnsi="Times New Roman" w:cs="Times New Roman"/>
          <w:sz w:val="28"/>
          <w:szCs w:val="28"/>
        </w:rPr>
        <w:t xml:space="preserve">Результати роботи викладенні та </w:t>
      </w:r>
      <w:r w:rsidR="00071B13" w:rsidRPr="00071B13">
        <w:rPr>
          <w:rFonts w:ascii="Times New Roman" w:eastAsia="Times New Roman" w:hAnsi="Times New Roman" w:cs="Times New Roman"/>
          <w:sz w:val="28"/>
          <w:szCs w:val="28"/>
        </w:rPr>
        <w:t>обговоренні на всеукраїнській науково-практичній конференції з міжнародною</w:t>
      </w:r>
      <w:r w:rsidR="00071B13">
        <w:rPr>
          <w:rFonts w:ascii="Times New Roman" w:eastAsia="Times New Roman" w:hAnsi="Times New Roman" w:cs="Times New Roman"/>
          <w:sz w:val="28"/>
          <w:szCs w:val="28"/>
        </w:rPr>
        <w:t xml:space="preserve"> </w:t>
      </w:r>
      <w:r w:rsidR="00071B13" w:rsidRPr="00071B13">
        <w:rPr>
          <w:rFonts w:ascii="Times New Roman" w:eastAsia="Times New Roman" w:hAnsi="Times New Roman" w:cs="Times New Roman"/>
          <w:sz w:val="28"/>
          <w:szCs w:val="28"/>
        </w:rPr>
        <w:t>участю «Запорізький фармацевтичний ф</w:t>
      </w:r>
      <w:r w:rsidR="00071B13">
        <w:rPr>
          <w:rFonts w:ascii="Times New Roman" w:eastAsia="Times New Roman" w:hAnsi="Times New Roman" w:cs="Times New Roman"/>
          <w:sz w:val="28"/>
          <w:szCs w:val="28"/>
        </w:rPr>
        <w:t xml:space="preserve">орум - 2023» та ХХVІІІ конгресі </w:t>
      </w:r>
      <w:r w:rsidR="00071B13" w:rsidRPr="00071B13">
        <w:rPr>
          <w:rFonts w:ascii="Times New Roman" w:eastAsia="Times New Roman" w:hAnsi="Times New Roman" w:cs="Times New Roman"/>
          <w:sz w:val="28"/>
          <w:szCs w:val="28"/>
        </w:rPr>
        <w:t>студентів та молодих вчених «Майбутнє за наукою», м. Тернопіль, 2024.</w:t>
      </w:r>
    </w:p>
    <w:p w:rsidR="00E3509E" w:rsidRDefault="00E3509E">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DE11A2" w:rsidRPr="00DE11A2" w:rsidRDefault="00DE11A2" w:rsidP="00E3509E">
      <w:pPr>
        <w:rPr>
          <w:rFonts w:ascii="Times New Roman" w:eastAsia="Times New Roman" w:hAnsi="Times New Roman" w:cs="Times New Roman"/>
          <w:sz w:val="28"/>
          <w:szCs w:val="28"/>
        </w:rPr>
      </w:pPr>
    </w:p>
    <w:p w:rsidR="001B4373" w:rsidRDefault="00AE3692" w:rsidP="001B4373">
      <w:pPr>
        <w:autoSpaceDE w:val="0"/>
        <w:autoSpaceDN w:val="0"/>
        <w:adjustRightInd w:val="0"/>
        <w:spacing w:after="0" w:line="360" w:lineRule="auto"/>
        <w:ind w:firstLine="709"/>
        <w:jc w:val="center"/>
        <w:rPr>
          <w:rFonts w:ascii="Times New Roman" w:eastAsia="Times New Roman" w:hAnsi="Times New Roman" w:cs="Times New Roman"/>
          <w:b/>
          <w:sz w:val="28"/>
          <w:szCs w:val="28"/>
          <w:lang w:eastAsia="uk-UA"/>
        </w:rPr>
      </w:pPr>
      <w:r w:rsidRPr="00CF22AE">
        <w:rPr>
          <w:rFonts w:ascii="Times New Roman" w:eastAsia="Times New Roman" w:hAnsi="Times New Roman" w:cs="Times New Roman"/>
          <w:b/>
          <w:sz w:val="28"/>
          <w:szCs w:val="28"/>
          <w:lang w:eastAsia="uk-UA"/>
        </w:rPr>
        <w:t xml:space="preserve">РОЗДІЛ 1. </w:t>
      </w:r>
    </w:p>
    <w:p w:rsidR="00AE3692" w:rsidRDefault="00AE3692" w:rsidP="001B4373">
      <w:pPr>
        <w:autoSpaceDE w:val="0"/>
        <w:autoSpaceDN w:val="0"/>
        <w:adjustRightInd w:val="0"/>
        <w:spacing w:after="0" w:line="360" w:lineRule="auto"/>
        <w:ind w:firstLine="709"/>
        <w:jc w:val="center"/>
        <w:rPr>
          <w:rFonts w:ascii="Times New Roman" w:eastAsia="Times New Roman" w:hAnsi="Times New Roman" w:cs="Times New Roman"/>
          <w:b/>
          <w:bCs/>
          <w:sz w:val="28"/>
          <w:szCs w:val="28"/>
          <w:lang w:eastAsia="ru-RU"/>
        </w:rPr>
      </w:pPr>
      <w:r w:rsidRPr="00CF22AE">
        <w:rPr>
          <w:rFonts w:ascii="Times New Roman" w:eastAsia="Times New Roman" w:hAnsi="Times New Roman" w:cs="Times New Roman"/>
          <w:b/>
          <w:bCs/>
          <w:sz w:val="28"/>
          <w:szCs w:val="28"/>
          <w:lang w:eastAsia="ru-RU"/>
        </w:rPr>
        <w:t>СУЧАСНИЙ СТАН СТВОРЕННЯ ТА ДОСЛІДЖЕННЯ ЛІКАРСЬКИХ ЗАСОБІВ НА ОСНОВІ ЛІКАРСЬКОЇ РОСЛИННОЇ СИРОВИНИ З ГЕПАТОПРОТЕКТОРНОЮ АКТИВНІСТЮ</w:t>
      </w:r>
    </w:p>
    <w:p w:rsidR="00071B13" w:rsidRPr="00CF22AE" w:rsidRDefault="00071B13" w:rsidP="001B4373">
      <w:pPr>
        <w:autoSpaceDE w:val="0"/>
        <w:autoSpaceDN w:val="0"/>
        <w:adjustRightInd w:val="0"/>
        <w:spacing w:after="0" w:line="360" w:lineRule="auto"/>
        <w:ind w:firstLine="709"/>
        <w:jc w:val="center"/>
        <w:rPr>
          <w:rFonts w:ascii="Times New Roman" w:eastAsia="Times New Roman" w:hAnsi="Times New Roman" w:cs="Times New Roman"/>
          <w:b/>
          <w:bCs/>
          <w:sz w:val="28"/>
          <w:szCs w:val="28"/>
          <w:lang w:eastAsia="ru-RU"/>
        </w:rPr>
      </w:pPr>
    </w:p>
    <w:p w:rsidR="009317FF" w:rsidRPr="00CF22AE" w:rsidRDefault="00AE3692" w:rsidP="00DB7D0E">
      <w:pPr>
        <w:pStyle w:val="a7"/>
        <w:numPr>
          <w:ilvl w:val="1"/>
          <w:numId w:val="6"/>
        </w:numPr>
        <w:autoSpaceDE w:val="0"/>
        <w:autoSpaceDN w:val="0"/>
        <w:spacing w:after="0" w:line="360" w:lineRule="auto"/>
        <w:ind w:firstLine="709"/>
        <w:jc w:val="both"/>
        <w:rPr>
          <w:rFonts w:ascii="Times New Roman" w:eastAsia="Times New Roman" w:hAnsi="Times New Roman" w:cs="Times New Roman"/>
          <w:sz w:val="28"/>
          <w:szCs w:val="28"/>
          <w:lang w:eastAsia="ru-RU"/>
        </w:rPr>
      </w:pPr>
      <w:r w:rsidRPr="00CF22AE">
        <w:rPr>
          <w:rFonts w:ascii="Times New Roman" w:eastAsia="Times New Roman" w:hAnsi="Times New Roman" w:cs="Times New Roman"/>
          <w:sz w:val="28"/>
          <w:szCs w:val="28"/>
          <w:lang w:eastAsia="ru-RU"/>
        </w:rPr>
        <w:t>Загальний стан проблеми захворювань печінки та підходи до лікування</w:t>
      </w:r>
      <w:r w:rsidR="009317FF" w:rsidRPr="00CF22AE">
        <w:rPr>
          <w:rFonts w:ascii="Times New Roman" w:eastAsia="Times New Roman" w:hAnsi="Times New Roman" w:cs="Times New Roman"/>
          <w:sz w:val="28"/>
          <w:szCs w:val="28"/>
          <w:lang w:eastAsia="ru-RU"/>
        </w:rPr>
        <w:t>.</w:t>
      </w:r>
    </w:p>
    <w:p w:rsidR="0039742E" w:rsidRPr="00CF22AE" w:rsidRDefault="009317FF"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r>
      <w:r w:rsidR="00764AA5" w:rsidRPr="00CF22AE">
        <w:rPr>
          <w:rFonts w:ascii="Times New Roman" w:eastAsia="Times New Roman" w:hAnsi="Times New Roman" w:cs="Times New Roman"/>
          <w:sz w:val="28"/>
          <w:szCs w:val="28"/>
          <w:lang w:eastAsia="uk-UA"/>
        </w:rPr>
        <w:t>Печінка</w:t>
      </w:r>
      <w:r w:rsidR="00DE11A2">
        <w:rPr>
          <w:rFonts w:ascii="Times New Roman" w:eastAsia="Times New Roman" w:hAnsi="Times New Roman" w:cs="Times New Roman"/>
          <w:sz w:val="28"/>
          <w:szCs w:val="28"/>
          <w:lang w:eastAsia="uk-UA"/>
        </w:rPr>
        <w:t xml:space="preserve"> – </w:t>
      </w:r>
      <w:r w:rsidR="00764AA5" w:rsidRPr="00CF22AE">
        <w:rPr>
          <w:rFonts w:ascii="Times New Roman" w:eastAsia="Times New Roman" w:hAnsi="Times New Roman" w:cs="Times New Roman"/>
          <w:sz w:val="28"/>
          <w:szCs w:val="28"/>
          <w:lang w:eastAsia="uk-UA"/>
        </w:rPr>
        <w:t>це найбільша залоза в людському організмі,</w:t>
      </w:r>
      <w:r w:rsidR="00DE11A2">
        <w:rPr>
          <w:rFonts w:ascii="Times New Roman" w:eastAsia="Times New Roman" w:hAnsi="Times New Roman" w:cs="Times New Roman"/>
          <w:sz w:val="28"/>
          <w:szCs w:val="28"/>
          <w:lang w:eastAsia="uk-UA"/>
        </w:rPr>
        <w:t xml:space="preserve"> вона за день секретує до 1,5 л.</w:t>
      </w:r>
      <w:r w:rsidR="00764AA5" w:rsidRPr="00CF22AE">
        <w:rPr>
          <w:rFonts w:ascii="Times New Roman" w:eastAsia="Times New Roman" w:hAnsi="Times New Roman" w:cs="Times New Roman"/>
          <w:sz w:val="28"/>
          <w:szCs w:val="28"/>
          <w:lang w:eastAsia="uk-UA"/>
        </w:rPr>
        <w:t xml:space="preserve"> жовчі. Окрім цього </w:t>
      </w:r>
      <w:r w:rsidR="00E03C68" w:rsidRPr="00CF22AE">
        <w:rPr>
          <w:rFonts w:ascii="Times New Roman" w:hAnsi="Times New Roman" w:cs="Times New Roman"/>
          <w:sz w:val="28"/>
          <w:szCs w:val="28"/>
          <w:lang w:eastAsia="ko-KR"/>
        </w:rPr>
        <w:t>їй</w:t>
      </w:r>
      <w:r w:rsidR="00764AA5" w:rsidRPr="00CF22AE">
        <w:rPr>
          <w:rFonts w:ascii="Times New Roman" w:eastAsia="Times New Roman" w:hAnsi="Times New Roman" w:cs="Times New Roman"/>
          <w:sz w:val="28"/>
          <w:szCs w:val="28"/>
          <w:lang w:eastAsia="uk-UA"/>
        </w:rPr>
        <w:t xml:space="preserve"> належить </w:t>
      </w:r>
      <w:r w:rsidRPr="00CF22AE">
        <w:rPr>
          <w:rFonts w:ascii="Times New Roman" w:eastAsia="Times New Roman" w:hAnsi="Times New Roman" w:cs="Times New Roman"/>
          <w:sz w:val="28"/>
          <w:szCs w:val="28"/>
          <w:lang w:eastAsia="uk-UA"/>
        </w:rPr>
        <w:t>дуже важлива роль у процесі обм</w:t>
      </w:r>
      <w:r w:rsidR="00764AA5" w:rsidRPr="00CF22AE">
        <w:rPr>
          <w:rFonts w:ascii="Times New Roman" w:eastAsia="Times New Roman" w:hAnsi="Times New Roman" w:cs="Times New Roman"/>
          <w:sz w:val="28"/>
          <w:szCs w:val="28"/>
          <w:lang w:eastAsia="uk-UA"/>
        </w:rPr>
        <w:t>іну поживних речовин. У тканинах печінки відбуваються різні процеси, які регулюють обмін вітамінів, амінокислот, жирів, білків, гормонів тощо</w:t>
      </w:r>
      <w:r w:rsidR="00E03C68" w:rsidRPr="00CF22AE">
        <w:rPr>
          <w:rFonts w:ascii="Times New Roman" w:eastAsia="Times New Roman" w:hAnsi="Times New Roman" w:cs="Times New Roman"/>
          <w:sz w:val="28"/>
          <w:szCs w:val="28"/>
          <w:lang w:eastAsia="uk-UA"/>
        </w:rPr>
        <w:t>. Вона є дуже важливим центром багатьох процесів,</w:t>
      </w:r>
      <w:r w:rsidR="00DE11A2">
        <w:rPr>
          <w:rFonts w:ascii="Times New Roman" w:eastAsia="Times New Roman" w:hAnsi="Times New Roman" w:cs="Times New Roman"/>
          <w:sz w:val="28"/>
          <w:szCs w:val="28"/>
          <w:lang w:eastAsia="uk-UA"/>
        </w:rPr>
        <w:t xml:space="preserve"> </w:t>
      </w:r>
      <w:r w:rsidR="00E03C68" w:rsidRPr="00CF22AE">
        <w:rPr>
          <w:rFonts w:ascii="Times New Roman" w:eastAsia="Times New Roman" w:hAnsi="Times New Roman" w:cs="Times New Roman"/>
          <w:sz w:val="28"/>
          <w:szCs w:val="28"/>
          <w:lang w:eastAsia="uk-UA"/>
        </w:rPr>
        <w:t xml:space="preserve">що відбуваються в організмі людини. А саме регуляція об’єму крові, перетворення мікроелементів, підтримка імунної системи, гомеостаз холестерину і ліпідів, контроль ендокринних сигнальних шляхів росту, а ще розпoділ ксенобіотичних сполук </w:t>
      </w:r>
      <w:r w:rsidRPr="00CF22AE">
        <w:rPr>
          <w:rFonts w:ascii="Times New Roman" w:eastAsia="Times New Roman" w:hAnsi="Times New Roman" w:cs="Times New Roman"/>
          <w:sz w:val="28"/>
          <w:szCs w:val="28"/>
          <w:lang w:eastAsia="uk-UA"/>
        </w:rPr>
        <w:t>[</w:t>
      </w:r>
      <w:r w:rsidR="00606830" w:rsidRPr="00CF22AE">
        <w:rPr>
          <w:rFonts w:ascii="Times New Roman" w:eastAsia="Times New Roman" w:hAnsi="Times New Roman" w:cs="Times New Roman"/>
          <w:sz w:val="28"/>
          <w:szCs w:val="28"/>
          <w:lang w:eastAsia="uk-UA"/>
        </w:rPr>
        <w:t>14</w:t>
      </w:r>
      <w:r w:rsidR="000F21F1" w:rsidRPr="00CF22AE">
        <w:rPr>
          <w:rFonts w:ascii="Times New Roman" w:eastAsia="Times New Roman" w:hAnsi="Times New Roman" w:cs="Times New Roman"/>
          <w:sz w:val="28"/>
          <w:szCs w:val="28"/>
          <w:lang w:eastAsia="uk-UA"/>
        </w:rPr>
        <w:t>]</w:t>
      </w:r>
      <w:r w:rsidR="000F21F1" w:rsidRPr="00CF22AE">
        <w:rPr>
          <w:rStyle w:val="a4"/>
          <w:rFonts w:ascii="Times New Roman" w:eastAsia="Times New Roman" w:hAnsi="Times New Roman" w:cs="Times New Roman"/>
          <w:sz w:val="28"/>
          <w:szCs w:val="28"/>
          <w:lang w:eastAsia="uk-UA"/>
        </w:rPr>
        <w:t xml:space="preserve"> </w:t>
      </w:r>
      <w:r w:rsidR="00D23561" w:rsidRPr="00CF22AE">
        <w:rPr>
          <w:rStyle w:val="a4"/>
          <w:rFonts w:ascii="Times New Roman" w:eastAsia="Times New Roman" w:hAnsi="Times New Roman" w:cs="Times New Roman"/>
          <w:sz w:val="28"/>
          <w:szCs w:val="28"/>
          <w:lang w:eastAsia="uk-UA"/>
        </w:rPr>
        <w:t>.</w:t>
      </w:r>
    </w:p>
    <w:p w:rsidR="00B62C23" w:rsidRPr="00CF22AE" w:rsidRDefault="00CD7963"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r>
      <w:r w:rsidR="00FA36B9" w:rsidRPr="00CF22AE">
        <w:rPr>
          <w:rFonts w:ascii="Times New Roman" w:eastAsia="Times New Roman" w:hAnsi="Times New Roman" w:cs="Times New Roman"/>
          <w:sz w:val="28"/>
          <w:szCs w:val="28"/>
          <w:lang w:eastAsia="uk-UA"/>
        </w:rPr>
        <w:t xml:space="preserve">Метаболізм та розподіл мікроелементів забезпечують необхідну енергію для того, щоб вище згадані процеси відбувались, тому вони є одними з найважливіших функцій печінки. </w:t>
      </w:r>
      <w:r w:rsidR="002F5D7A" w:rsidRPr="00CF22AE">
        <w:rPr>
          <w:rFonts w:ascii="Times New Roman" w:eastAsia="Times New Roman" w:hAnsi="Times New Roman" w:cs="Times New Roman"/>
          <w:sz w:val="28"/>
          <w:szCs w:val="28"/>
          <w:lang w:eastAsia="uk-UA"/>
        </w:rPr>
        <w:t xml:space="preserve"> </w:t>
      </w:r>
      <w:r w:rsidR="00E03C68" w:rsidRPr="00CF22AE">
        <w:rPr>
          <w:rFonts w:ascii="Times New Roman" w:eastAsia="Times New Roman" w:hAnsi="Times New Roman" w:cs="Times New Roman"/>
          <w:sz w:val="28"/>
          <w:szCs w:val="28"/>
          <w:lang w:eastAsia="uk-UA"/>
        </w:rPr>
        <w:t>Окрім цього</w:t>
      </w:r>
      <w:r w:rsidR="002F5D7A" w:rsidRPr="00CF22AE">
        <w:rPr>
          <w:rFonts w:ascii="Times New Roman" w:eastAsia="Times New Roman" w:hAnsi="Times New Roman" w:cs="Times New Roman"/>
          <w:sz w:val="28"/>
          <w:szCs w:val="28"/>
          <w:lang w:eastAsia="uk-UA"/>
        </w:rPr>
        <w:t xml:space="preserve"> печінка здатна </w:t>
      </w:r>
      <w:r w:rsidR="00EE49B3" w:rsidRPr="00CF22AE">
        <w:rPr>
          <w:rFonts w:ascii="Times New Roman" w:eastAsia="Times New Roman" w:hAnsi="Times New Roman" w:cs="Times New Roman"/>
          <w:sz w:val="28"/>
          <w:szCs w:val="28"/>
          <w:lang w:eastAsia="uk-UA"/>
        </w:rPr>
        <w:t>зберігати глюкозу у вигляді глікогену та у відповідь на голодування збирати глюкозу з допомогою глюкнеогенного шляху. Вона може зберігати надлишок ліпідів, які потрібні для секреції, в тканин</w:t>
      </w:r>
      <w:r w:rsidRPr="00CF22AE">
        <w:rPr>
          <w:rFonts w:ascii="Times New Roman" w:eastAsia="Times New Roman" w:hAnsi="Times New Roman" w:cs="Times New Roman"/>
          <w:sz w:val="28"/>
          <w:szCs w:val="28"/>
          <w:lang w:eastAsia="uk-UA"/>
        </w:rPr>
        <w:t>a</w:t>
      </w:r>
      <w:r w:rsidR="00EE49B3" w:rsidRPr="00CF22AE">
        <w:rPr>
          <w:rFonts w:ascii="Times New Roman" w:eastAsia="Times New Roman" w:hAnsi="Times New Roman" w:cs="Times New Roman"/>
          <w:sz w:val="28"/>
          <w:szCs w:val="28"/>
          <w:lang w:eastAsia="uk-UA"/>
        </w:rPr>
        <w:t>х таких як жирова, т</w:t>
      </w:r>
      <w:r w:rsidRPr="00CF22AE">
        <w:rPr>
          <w:rFonts w:ascii="Times New Roman" w:eastAsia="Times New Roman" w:hAnsi="Times New Roman" w:cs="Times New Roman"/>
          <w:sz w:val="28"/>
          <w:szCs w:val="28"/>
          <w:lang w:eastAsia="uk-UA"/>
        </w:rPr>
        <w:t>a</w:t>
      </w:r>
      <w:r w:rsidR="00EE49B3" w:rsidRPr="00CF22AE">
        <w:rPr>
          <w:rFonts w:ascii="Times New Roman" w:eastAsia="Times New Roman" w:hAnsi="Times New Roman" w:cs="Times New Roman"/>
          <w:sz w:val="28"/>
          <w:szCs w:val="28"/>
          <w:lang w:eastAsia="uk-UA"/>
        </w:rPr>
        <w:t>кож може їх о</w:t>
      </w:r>
      <w:r w:rsidRPr="00CF22AE">
        <w:rPr>
          <w:rFonts w:ascii="Times New Roman" w:hAnsi="Times New Roman" w:cs="Times New Roman"/>
          <w:sz w:val="28"/>
          <w:szCs w:val="28"/>
          <w:lang w:eastAsia="ko-KR"/>
        </w:rPr>
        <w:t>к</w:t>
      </w:r>
      <w:r w:rsidR="00EE49B3" w:rsidRPr="00CF22AE">
        <w:rPr>
          <w:rFonts w:ascii="Times New Roman" w:eastAsia="Times New Roman" w:hAnsi="Times New Roman" w:cs="Times New Roman"/>
          <w:sz w:val="28"/>
          <w:szCs w:val="28"/>
          <w:lang w:eastAsia="uk-UA"/>
        </w:rPr>
        <w:t xml:space="preserve">ислювати. </w:t>
      </w:r>
      <w:r w:rsidR="00E03C68" w:rsidRPr="00CF22AE">
        <w:rPr>
          <w:rFonts w:ascii="Times New Roman" w:eastAsia="Times New Roman" w:hAnsi="Times New Roman" w:cs="Times New Roman"/>
          <w:sz w:val="28"/>
          <w:szCs w:val="28"/>
          <w:lang w:eastAsia="uk-UA"/>
        </w:rPr>
        <w:t xml:space="preserve">А ще </w:t>
      </w:r>
      <w:r w:rsidR="00EE49B3" w:rsidRPr="00CF22AE">
        <w:rPr>
          <w:rFonts w:ascii="Times New Roman" w:eastAsia="Times New Roman" w:hAnsi="Times New Roman" w:cs="Times New Roman"/>
          <w:sz w:val="28"/>
          <w:szCs w:val="28"/>
          <w:lang w:eastAsia="uk-UA"/>
        </w:rPr>
        <w:t>, оскільки печін</w:t>
      </w:r>
      <w:r w:rsidRPr="00CF22AE">
        <w:rPr>
          <w:rFonts w:ascii="Times New Roman" w:eastAsia="Times New Roman" w:hAnsi="Times New Roman" w:cs="Times New Roman"/>
          <w:sz w:val="28"/>
          <w:szCs w:val="28"/>
          <w:lang w:eastAsia="uk-UA"/>
        </w:rPr>
        <w:t>к</w:t>
      </w:r>
      <w:r w:rsidR="00EE49B3" w:rsidRPr="00CF22AE">
        <w:rPr>
          <w:rFonts w:ascii="Times New Roman" w:eastAsia="Times New Roman" w:hAnsi="Times New Roman" w:cs="Times New Roman"/>
          <w:sz w:val="28"/>
          <w:szCs w:val="28"/>
          <w:lang w:eastAsia="uk-UA"/>
        </w:rPr>
        <w:t xml:space="preserve">а відповідає за велику кількість білків, які виділяються </w:t>
      </w:r>
      <w:r w:rsidRPr="00CF22AE">
        <w:rPr>
          <w:rFonts w:ascii="Times New Roman" w:eastAsia="Times New Roman" w:hAnsi="Times New Roman" w:cs="Times New Roman"/>
          <w:sz w:val="28"/>
          <w:szCs w:val="28"/>
          <w:lang w:eastAsia="uk-UA"/>
        </w:rPr>
        <w:t>в</w:t>
      </w:r>
      <w:r w:rsidR="00EE49B3" w:rsidRPr="00CF22AE">
        <w:rPr>
          <w:rFonts w:ascii="Times New Roman" w:eastAsia="Times New Roman" w:hAnsi="Times New Roman" w:cs="Times New Roman"/>
          <w:sz w:val="28"/>
          <w:szCs w:val="28"/>
          <w:lang w:eastAsia="uk-UA"/>
        </w:rPr>
        <w:t xml:space="preserve"> кров вона слугує основним постачальником білків та метаболітів амінокислот, відповідає за утилізацію азотистих відходів від деградації цих білків</w:t>
      </w:r>
      <w:r w:rsidR="00D23561" w:rsidRPr="00CF22AE">
        <w:rPr>
          <w:rFonts w:ascii="Times New Roman" w:eastAsia="Times New Roman" w:hAnsi="Times New Roman" w:cs="Times New Roman"/>
          <w:sz w:val="28"/>
          <w:szCs w:val="28"/>
          <w:lang w:eastAsia="uk-UA"/>
        </w:rPr>
        <w:t xml:space="preserve"> у вигляді метаболізму сечовини</w:t>
      </w:r>
      <w:r w:rsidR="00706E35" w:rsidRPr="00CF22AE">
        <w:rPr>
          <w:rFonts w:ascii="Times New Roman" w:eastAsia="Times New Roman" w:hAnsi="Times New Roman" w:cs="Times New Roman"/>
          <w:sz w:val="28"/>
          <w:szCs w:val="28"/>
          <w:lang w:eastAsia="uk-UA"/>
        </w:rPr>
        <w:t>[15</w:t>
      </w:r>
      <w:r w:rsidR="00D23561" w:rsidRPr="00CF22AE">
        <w:rPr>
          <w:rFonts w:ascii="Times New Roman" w:eastAsia="Times New Roman" w:hAnsi="Times New Roman" w:cs="Times New Roman"/>
          <w:sz w:val="28"/>
          <w:szCs w:val="28"/>
          <w:lang w:eastAsia="uk-UA"/>
        </w:rPr>
        <w:t>].</w:t>
      </w:r>
    </w:p>
    <w:p w:rsidR="006259CE" w:rsidRPr="00CF22AE" w:rsidRDefault="00CD7963"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r>
      <w:r w:rsidR="00EE49B3" w:rsidRPr="00CF22AE">
        <w:rPr>
          <w:rFonts w:ascii="Times New Roman" w:eastAsia="Times New Roman" w:hAnsi="Times New Roman" w:cs="Times New Roman"/>
          <w:sz w:val="28"/>
          <w:szCs w:val="28"/>
          <w:lang w:eastAsia="uk-UA"/>
        </w:rPr>
        <w:t xml:space="preserve">З погляду еволюції печінка зазнала багато змін, адже всі процеси, які в ній відбуваються є дуже </w:t>
      </w:r>
      <w:r w:rsidR="00B62C23" w:rsidRPr="00CF22AE">
        <w:rPr>
          <w:rFonts w:ascii="Times New Roman" w:eastAsia="Times New Roman" w:hAnsi="Times New Roman" w:cs="Times New Roman"/>
          <w:sz w:val="28"/>
          <w:szCs w:val="28"/>
          <w:lang w:eastAsia="uk-UA"/>
        </w:rPr>
        <w:t>важливими для життя, тому вона збереглась у всіх хребетних тв</w:t>
      </w:r>
      <w:r w:rsidR="00071B13">
        <w:rPr>
          <w:rFonts w:ascii="Times New Roman" w:eastAsia="Times New Roman" w:hAnsi="Times New Roman" w:cs="Times New Roman"/>
          <w:sz w:val="28"/>
          <w:szCs w:val="28"/>
          <w:lang w:eastAsia="uk-UA"/>
        </w:rPr>
        <w:t xml:space="preserve">арин. Печінкова недостатність – </w:t>
      </w:r>
      <w:r w:rsidR="00B62C23" w:rsidRPr="00CF22AE">
        <w:rPr>
          <w:rFonts w:ascii="Times New Roman" w:eastAsia="Times New Roman" w:hAnsi="Times New Roman" w:cs="Times New Roman"/>
          <w:sz w:val="28"/>
          <w:szCs w:val="28"/>
          <w:lang w:eastAsia="uk-UA"/>
        </w:rPr>
        <w:t>є глобальною проблемою в сфері охорони здоров’я. Для розуміння патологій та можливих шляхів лікування патологій печінки варто розуміти розвиток та фізіоло</w:t>
      </w:r>
      <w:r w:rsidR="00D23561" w:rsidRPr="00CF22AE">
        <w:rPr>
          <w:rFonts w:ascii="Times New Roman" w:eastAsia="Times New Roman" w:hAnsi="Times New Roman" w:cs="Times New Roman"/>
          <w:sz w:val="28"/>
          <w:szCs w:val="28"/>
          <w:lang w:eastAsia="uk-UA"/>
        </w:rPr>
        <w:t xml:space="preserve">гію специфічних функцій печінки </w:t>
      </w:r>
      <w:r w:rsidR="009317FF" w:rsidRPr="00CF22AE">
        <w:rPr>
          <w:rFonts w:ascii="Times New Roman" w:eastAsia="Times New Roman" w:hAnsi="Times New Roman" w:cs="Times New Roman"/>
          <w:sz w:val="28"/>
          <w:szCs w:val="28"/>
          <w:lang w:eastAsia="uk-UA"/>
        </w:rPr>
        <w:t>[</w:t>
      </w:r>
      <w:r w:rsidR="00706E35" w:rsidRPr="00CF22AE">
        <w:rPr>
          <w:rFonts w:ascii="Times New Roman" w:eastAsia="Times New Roman" w:hAnsi="Times New Roman" w:cs="Times New Roman"/>
          <w:sz w:val="28"/>
          <w:szCs w:val="28"/>
          <w:lang w:eastAsia="uk-UA"/>
        </w:rPr>
        <w:t>15</w:t>
      </w:r>
      <w:r w:rsidR="009317FF" w:rsidRPr="00CF22AE">
        <w:rPr>
          <w:rFonts w:ascii="Times New Roman" w:eastAsia="Times New Roman" w:hAnsi="Times New Roman" w:cs="Times New Roman"/>
          <w:sz w:val="28"/>
          <w:szCs w:val="28"/>
          <w:lang w:eastAsia="uk-UA"/>
        </w:rPr>
        <w:t>]</w:t>
      </w:r>
      <w:r w:rsidR="00D23561" w:rsidRPr="00CF22AE">
        <w:rPr>
          <w:rFonts w:ascii="Times New Roman" w:eastAsia="Times New Roman" w:hAnsi="Times New Roman" w:cs="Times New Roman"/>
          <w:sz w:val="28"/>
          <w:szCs w:val="28"/>
          <w:lang w:eastAsia="uk-UA"/>
        </w:rPr>
        <w:t>.</w:t>
      </w:r>
    </w:p>
    <w:p w:rsidR="006259CE" w:rsidRPr="00CF22AE" w:rsidRDefault="00CD7963"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r>
      <w:r w:rsidR="006259CE" w:rsidRPr="00CF22AE">
        <w:rPr>
          <w:rFonts w:ascii="Times New Roman" w:eastAsia="Times New Roman" w:hAnsi="Times New Roman" w:cs="Times New Roman"/>
          <w:sz w:val="28"/>
          <w:szCs w:val="28"/>
          <w:lang w:eastAsia="uk-UA"/>
        </w:rPr>
        <w:t>Прийнято вважати, що більшість захворювань, які виникають в наслідок імунних розладів, пов’язані з порушенням функцій печінки, такі як розсіяний склероз, системний черевний вовчак та серцеву недостатність. Саме так печінка відіграє певну роль у імунній регуляції та п</w:t>
      </w:r>
      <w:r w:rsidR="00D23561" w:rsidRPr="00CF22AE">
        <w:rPr>
          <w:rFonts w:ascii="Times New Roman" w:eastAsia="Times New Roman" w:hAnsi="Times New Roman" w:cs="Times New Roman"/>
          <w:sz w:val="28"/>
          <w:szCs w:val="28"/>
          <w:lang w:eastAsia="uk-UA"/>
        </w:rPr>
        <w:t xml:space="preserve">о’язана із системним імунітетом </w:t>
      </w:r>
      <w:r w:rsidR="00706E35" w:rsidRPr="00CF22AE">
        <w:rPr>
          <w:rFonts w:ascii="Times New Roman" w:eastAsia="Times New Roman" w:hAnsi="Times New Roman" w:cs="Times New Roman"/>
          <w:sz w:val="28"/>
          <w:szCs w:val="28"/>
          <w:lang w:eastAsia="uk-UA"/>
        </w:rPr>
        <w:t>[16</w:t>
      </w:r>
      <w:r w:rsidR="009317FF" w:rsidRPr="00CF22AE">
        <w:rPr>
          <w:rFonts w:ascii="Times New Roman" w:eastAsia="Times New Roman" w:hAnsi="Times New Roman" w:cs="Times New Roman"/>
          <w:sz w:val="28"/>
          <w:szCs w:val="28"/>
          <w:lang w:eastAsia="uk-UA"/>
        </w:rPr>
        <w:t>]</w:t>
      </w:r>
      <w:r w:rsidR="00D23561" w:rsidRPr="00CF22AE">
        <w:rPr>
          <w:rFonts w:ascii="Times New Roman" w:eastAsia="Times New Roman" w:hAnsi="Times New Roman" w:cs="Times New Roman"/>
          <w:sz w:val="28"/>
          <w:szCs w:val="28"/>
          <w:lang w:eastAsia="uk-UA"/>
        </w:rPr>
        <w:t>.</w:t>
      </w:r>
      <w:r w:rsidR="00706E35" w:rsidRPr="00CF22AE">
        <w:rPr>
          <w:rFonts w:ascii="Times New Roman" w:eastAsia="Times New Roman" w:hAnsi="Times New Roman" w:cs="Times New Roman"/>
          <w:sz w:val="28"/>
          <w:szCs w:val="28"/>
          <w:lang w:eastAsia="uk-UA"/>
        </w:rPr>
        <w:t xml:space="preserve"> </w:t>
      </w:r>
    </w:p>
    <w:p w:rsidR="00764AA5" w:rsidRPr="00CF22AE" w:rsidRDefault="00D77518"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764AA5" w:rsidRPr="00CF22AE">
        <w:rPr>
          <w:rFonts w:ascii="Times New Roman" w:eastAsia="Times New Roman" w:hAnsi="Times New Roman" w:cs="Times New Roman"/>
          <w:sz w:val="28"/>
          <w:szCs w:val="28"/>
          <w:lang w:eastAsia="uk-UA"/>
        </w:rPr>
        <w:t>Захворювання печінки — це серйозна проблема для всього світу, тому необхідно розробляти нові препарати , які допоможуть запобігати і</w:t>
      </w:r>
      <w:r w:rsidR="00D23561" w:rsidRPr="00CF22AE">
        <w:rPr>
          <w:rFonts w:ascii="Times New Roman" w:eastAsia="Times New Roman" w:hAnsi="Times New Roman" w:cs="Times New Roman"/>
          <w:sz w:val="28"/>
          <w:szCs w:val="28"/>
          <w:lang w:eastAsia="uk-UA"/>
        </w:rPr>
        <w:t xml:space="preserve"> протидіяти таким захворюванням </w:t>
      </w:r>
      <w:r w:rsidR="00706E35" w:rsidRPr="00CF22AE">
        <w:rPr>
          <w:rFonts w:ascii="Times New Roman" w:eastAsia="Times New Roman" w:hAnsi="Times New Roman" w:cs="Times New Roman"/>
          <w:sz w:val="28"/>
          <w:szCs w:val="28"/>
          <w:lang w:eastAsia="uk-UA"/>
        </w:rPr>
        <w:t>[17</w:t>
      </w:r>
      <w:r w:rsidR="00CD7963" w:rsidRPr="00CF22AE">
        <w:rPr>
          <w:rFonts w:ascii="Times New Roman" w:eastAsia="Times New Roman" w:hAnsi="Times New Roman" w:cs="Times New Roman"/>
          <w:sz w:val="28"/>
          <w:szCs w:val="28"/>
          <w:lang w:eastAsia="uk-UA"/>
        </w:rPr>
        <w:t>]</w:t>
      </w:r>
      <w:r w:rsidR="00706E35" w:rsidRPr="00CF22AE">
        <w:t xml:space="preserve"> </w:t>
      </w:r>
      <w:r w:rsidR="00D23561" w:rsidRPr="00CF22AE">
        <w:t>.</w:t>
      </w:r>
    </w:p>
    <w:p w:rsidR="00E7450C" w:rsidRPr="00CF22AE" w:rsidRDefault="00D77518"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ab/>
      </w:r>
      <w:r w:rsidR="006D15D2" w:rsidRPr="00CF22AE">
        <w:rPr>
          <w:rFonts w:ascii="Times New Roman" w:eastAsia="Times New Roman" w:hAnsi="Times New Roman" w:cs="Times New Roman"/>
          <w:sz w:val="28"/>
          <w:szCs w:val="28"/>
          <w:lang w:eastAsia="uk-UA"/>
        </w:rPr>
        <w:t xml:space="preserve">Цироз печінки - це стан, який поширений по всьому світу і може виникнути з різних причин, таких як ожиріння, захворювання печінки внаслідок неалкогольного жирового захворювання, велике споживання алкоголю, інфекція гепатитом B або C, аутоімунні захворювання, холестатичні розлади та надлишок заліза або міді. Цей стан розвивається після тривалого запалення, що призводить до заміщення здорової паренхіми печінки фіброзною тканиною та регенеративними вузликами, що може призвести до портальної гіпертензії. Цироз проходить через стадії, починаючи з безсимптомної (компенсованої) до симптомної (декомпенсованої), коли ускладнення часто призводять до госпіталізації та погіршують якість життя. Лікування цирозу спрямоване на лікування причин та ускладнень, і в деяких випадках може </w:t>
      </w:r>
      <w:r w:rsidR="00D23561" w:rsidRPr="00CF22AE">
        <w:rPr>
          <w:rFonts w:ascii="Times New Roman" w:eastAsia="Times New Roman" w:hAnsi="Times New Roman" w:cs="Times New Roman"/>
          <w:sz w:val="28"/>
          <w:szCs w:val="28"/>
          <w:lang w:eastAsia="uk-UA"/>
        </w:rPr>
        <w:t xml:space="preserve">включати трансплантацію печінки </w:t>
      </w:r>
      <w:r w:rsidR="00706E35" w:rsidRPr="00CF22AE">
        <w:rPr>
          <w:rFonts w:ascii="Times New Roman" w:eastAsia="Times New Roman" w:hAnsi="Times New Roman" w:cs="Times New Roman"/>
          <w:sz w:val="28"/>
          <w:szCs w:val="28"/>
          <w:lang w:eastAsia="uk-UA"/>
        </w:rPr>
        <w:t>[18</w:t>
      </w:r>
      <w:r w:rsidR="006D15D2" w:rsidRPr="00CF22AE">
        <w:rPr>
          <w:rFonts w:ascii="Times New Roman" w:eastAsia="Times New Roman" w:hAnsi="Times New Roman" w:cs="Times New Roman"/>
          <w:sz w:val="28"/>
          <w:szCs w:val="28"/>
          <w:lang w:eastAsia="uk-UA"/>
        </w:rPr>
        <w:t>]</w:t>
      </w:r>
      <w:r w:rsidR="00D23561" w:rsidRPr="00CF22AE">
        <w:rPr>
          <w:rFonts w:ascii="Times New Roman" w:eastAsia="Times New Roman" w:hAnsi="Times New Roman" w:cs="Times New Roman"/>
          <w:sz w:val="28"/>
          <w:szCs w:val="28"/>
          <w:lang w:eastAsia="uk-UA"/>
        </w:rPr>
        <w:t>.</w:t>
      </w:r>
      <w:r w:rsidR="00706E35" w:rsidRPr="00CF22AE">
        <w:rPr>
          <w:rFonts w:ascii="Times New Roman" w:eastAsia="Times New Roman" w:hAnsi="Times New Roman" w:cs="Times New Roman"/>
          <w:sz w:val="28"/>
          <w:szCs w:val="28"/>
          <w:lang w:eastAsia="uk-UA"/>
        </w:rPr>
        <w:t xml:space="preserve"> </w:t>
      </w:r>
    </w:p>
    <w:p w:rsidR="00D73DA4" w:rsidRPr="00CF22AE" w:rsidRDefault="00E13253"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Неалкогольна жирова хвороба печінки (НАЖХП) – це група станів, що характеризуються накопиченням жиру в печінці без значного вживання алкоголю. НАЖХП часто спостерігається у пацієнтів з метаболічними порушеннями, пов'язаними з ожирінням, такими як діабет 2 типу, дисліпідемія та метаболічний синдром. Проте, не всі люди з ожирінням розвивають НАЖХП, і важливо зазначити, що НАЖХП може виникати і у людей без ожиріння. Хоча про НАЖХП у не ожирілих осіб повідомлялося як у дітей, так і у дорослих будь-якої етнічної групи, частіше вона виявляється у азіатів, навіть при використанні суворих критеріїв індексу маси тіла, пов'язаних з етнічною приналежністю. Дослідження, що базуються на біопсії печінки, показують, що поширеність неалкогольного стеатогепатиту та фіброзу не сильно відрізняється між не ожирілими і ожирілими пацієнтами з НАЖХП. Вісцеральне ожиріння, на відміну від загального ожиріння, високе споживання фруктози та холестерину, а також генетичні фактори ризику (наприклад, білок, що містить пататиноподібний фосфоліпазний домен 3) можуть бути </w:t>
      </w:r>
      <w:r w:rsidR="00D23561" w:rsidRPr="00CF22AE">
        <w:rPr>
          <w:rFonts w:ascii="Times New Roman" w:eastAsia="Times New Roman" w:hAnsi="Times New Roman" w:cs="Times New Roman"/>
          <w:sz w:val="28"/>
          <w:szCs w:val="28"/>
          <w:lang w:eastAsia="uk-UA"/>
        </w:rPr>
        <w:t xml:space="preserve">пов'язані з НАЖХП у не ожирілих </w:t>
      </w:r>
      <w:r w:rsidRPr="00CF22AE">
        <w:rPr>
          <w:rFonts w:ascii="Times New Roman" w:eastAsia="Times New Roman" w:hAnsi="Times New Roman" w:cs="Times New Roman"/>
          <w:sz w:val="28"/>
          <w:szCs w:val="28"/>
          <w:lang w:eastAsia="uk-UA"/>
        </w:rPr>
        <w:t>[</w:t>
      </w:r>
      <w:r w:rsidR="00706E35" w:rsidRPr="00CF22AE">
        <w:rPr>
          <w:rFonts w:ascii="Times New Roman" w:eastAsia="Times New Roman" w:hAnsi="Times New Roman" w:cs="Times New Roman"/>
          <w:sz w:val="28"/>
          <w:szCs w:val="28"/>
          <w:lang w:eastAsia="uk-UA"/>
        </w:rPr>
        <w:t>19</w:t>
      </w:r>
      <w:r w:rsidRPr="00CF22AE">
        <w:rPr>
          <w:rFonts w:ascii="Times New Roman" w:eastAsia="Times New Roman" w:hAnsi="Times New Roman" w:cs="Times New Roman"/>
          <w:sz w:val="28"/>
          <w:szCs w:val="28"/>
          <w:lang w:eastAsia="uk-UA"/>
        </w:rPr>
        <w:t>]</w:t>
      </w:r>
      <w:r w:rsidR="00D23561" w:rsidRPr="00CF22AE">
        <w:rPr>
          <w:rFonts w:ascii="Times New Roman" w:eastAsia="Times New Roman" w:hAnsi="Times New Roman" w:cs="Times New Roman"/>
          <w:sz w:val="28"/>
          <w:szCs w:val="28"/>
          <w:lang w:eastAsia="uk-UA"/>
        </w:rPr>
        <w:t>.</w:t>
      </w:r>
      <w:r w:rsidR="00706E35" w:rsidRPr="00CF22AE">
        <w:rPr>
          <w:rFonts w:ascii="Times New Roman" w:eastAsia="Times New Roman" w:hAnsi="Times New Roman" w:cs="Times New Roman"/>
          <w:sz w:val="28"/>
          <w:szCs w:val="28"/>
          <w:lang w:eastAsia="uk-UA"/>
        </w:rPr>
        <w:t xml:space="preserve"> </w:t>
      </w:r>
    </w:p>
    <w:p w:rsidR="00430BEF" w:rsidRPr="00CF22AE" w:rsidRDefault="00D77518"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Pr>
          <w:rFonts w:ascii="Times New Roman" w:hAnsi="Times New Roman" w:cs="Times New Roman"/>
          <w:color w:val="0D0D0D"/>
          <w:sz w:val="28"/>
          <w:szCs w:val="28"/>
          <w:shd w:val="clear" w:color="auto" w:fill="FFFFFF"/>
        </w:rPr>
        <w:t xml:space="preserve">Гепатопротектори </w:t>
      </w:r>
      <w:r>
        <w:rPr>
          <w:rFonts w:ascii="Times New Roman" w:eastAsia="Times New Roman" w:hAnsi="Times New Roman" w:cs="Times New Roman"/>
          <w:sz w:val="28"/>
          <w:szCs w:val="28"/>
          <w:lang w:eastAsia="uk-UA"/>
        </w:rPr>
        <w:t>–</w:t>
      </w:r>
      <w:r w:rsidR="00430BEF" w:rsidRPr="00CF22AE">
        <w:rPr>
          <w:rFonts w:ascii="Times New Roman" w:hAnsi="Times New Roman" w:cs="Times New Roman"/>
          <w:color w:val="0D0D0D"/>
          <w:sz w:val="28"/>
          <w:szCs w:val="28"/>
          <w:shd w:val="clear" w:color="auto" w:fill="FFFFFF"/>
        </w:rPr>
        <w:t xml:space="preserve"> це речовини, які захищають печінку від пошкоджень, спричинених різними факторами, такими як ліки, токсини та інфекції. Багато лікарських рослин </w:t>
      </w:r>
      <w:r w:rsidR="00DE11A2">
        <w:rPr>
          <w:rFonts w:ascii="Times New Roman" w:hAnsi="Times New Roman" w:cs="Times New Roman"/>
          <w:color w:val="0D0D0D"/>
          <w:sz w:val="28"/>
          <w:szCs w:val="28"/>
          <w:shd w:val="clear" w:color="auto" w:fill="FFFFFF"/>
        </w:rPr>
        <w:t xml:space="preserve">(ЛР) </w:t>
      </w:r>
      <w:r w:rsidR="00430BEF" w:rsidRPr="00CF22AE">
        <w:rPr>
          <w:rFonts w:ascii="Times New Roman" w:hAnsi="Times New Roman" w:cs="Times New Roman"/>
          <w:color w:val="0D0D0D"/>
          <w:sz w:val="28"/>
          <w:szCs w:val="28"/>
          <w:shd w:val="clear" w:color="auto" w:fill="FFFFFF"/>
        </w:rPr>
        <w:t>традиційно використовуються за їх гепатопротекторний ефект. Куркума (</w:t>
      </w:r>
      <w:r w:rsidR="00430BEF" w:rsidRPr="00D77518">
        <w:rPr>
          <w:rFonts w:ascii="Times New Roman" w:hAnsi="Times New Roman" w:cs="Times New Roman"/>
          <w:i/>
          <w:color w:val="0D0D0D"/>
          <w:sz w:val="28"/>
          <w:szCs w:val="28"/>
          <w:shd w:val="clear" w:color="auto" w:fill="FFFFFF"/>
        </w:rPr>
        <w:t>Curcuma longa</w:t>
      </w:r>
      <w:r w:rsidR="00430BEF" w:rsidRPr="00CF22AE">
        <w:rPr>
          <w:rFonts w:ascii="Times New Roman" w:hAnsi="Times New Roman" w:cs="Times New Roman"/>
          <w:color w:val="0D0D0D"/>
          <w:sz w:val="28"/>
          <w:szCs w:val="28"/>
          <w:shd w:val="clear" w:color="auto" w:fill="FFFFFF"/>
        </w:rPr>
        <w:t>) та кульбаба (</w:t>
      </w:r>
      <w:r w:rsidR="00430BEF" w:rsidRPr="00D77518">
        <w:rPr>
          <w:rFonts w:ascii="Times New Roman" w:hAnsi="Times New Roman" w:cs="Times New Roman"/>
          <w:i/>
          <w:color w:val="0D0D0D"/>
          <w:sz w:val="28"/>
          <w:szCs w:val="28"/>
          <w:shd w:val="clear" w:color="auto" w:fill="FFFFFF"/>
        </w:rPr>
        <w:t>Taraxacum officinale</w:t>
      </w:r>
      <w:r w:rsidR="00430BEF" w:rsidRPr="00CF22AE">
        <w:rPr>
          <w:rFonts w:ascii="Times New Roman" w:hAnsi="Times New Roman" w:cs="Times New Roman"/>
          <w:color w:val="0D0D0D"/>
          <w:sz w:val="28"/>
          <w:szCs w:val="28"/>
          <w:shd w:val="clear" w:color="auto" w:fill="FFFFFF"/>
        </w:rPr>
        <w:t xml:space="preserve">) - серед них, із ретельним вивченням їх потенціалу захисту печінки. У наш час створення гепатопротекторних препаратів набуває особливого значення. Зростання захворювань печінки - це одна з важливих медичних проблем. Це пов'язано із постійним погіршенням екологічної ситуації, збільшенням надходження хімічних речовин у людський організм. Крім того, збільшується вживання синтетичних </w:t>
      </w:r>
      <w:r w:rsidR="00DE11A2">
        <w:rPr>
          <w:rFonts w:ascii="Times New Roman" w:hAnsi="Times New Roman" w:cs="Times New Roman"/>
          <w:color w:val="0D0D0D"/>
          <w:sz w:val="28"/>
          <w:szCs w:val="28"/>
          <w:shd w:val="clear" w:color="auto" w:fill="FFFFFF"/>
        </w:rPr>
        <w:t>ЛЗ</w:t>
      </w:r>
      <w:r w:rsidR="00430BEF" w:rsidRPr="00CF22AE">
        <w:rPr>
          <w:rFonts w:ascii="Times New Roman" w:hAnsi="Times New Roman" w:cs="Times New Roman"/>
          <w:color w:val="0D0D0D"/>
          <w:sz w:val="28"/>
          <w:szCs w:val="28"/>
          <w:shd w:val="clear" w:color="auto" w:fill="FFFFFF"/>
        </w:rPr>
        <w:t xml:space="preserve"> та алкоголю. Для лікування захворювань печінки використовують як синтетичні, так і фітотерапевтичні </w:t>
      </w:r>
      <w:r w:rsidR="007E3477">
        <w:rPr>
          <w:rFonts w:ascii="Times New Roman" w:hAnsi="Times New Roman" w:cs="Times New Roman"/>
          <w:color w:val="0D0D0D"/>
          <w:sz w:val="28"/>
          <w:szCs w:val="28"/>
          <w:shd w:val="clear" w:color="auto" w:fill="FFFFFF"/>
        </w:rPr>
        <w:t>ЛЗ</w:t>
      </w:r>
      <w:r w:rsidR="00430BEF" w:rsidRPr="00CF22AE">
        <w:rPr>
          <w:rFonts w:ascii="Times New Roman" w:hAnsi="Times New Roman" w:cs="Times New Roman"/>
          <w:color w:val="0D0D0D"/>
          <w:sz w:val="28"/>
          <w:szCs w:val="28"/>
          <w:shd w:val="clear" w:color="auto" w:fill="FFFFFF"/>
        </w:rPr>
        <w:t>. Попит на гепатопротектори рослинного походження обумовлений тим, що інші препарати часто ма</w:t>
      </w:r>
      <w:r w:rsidR="00DE11A2">
        <w:rPr>
          <w:rFonts w:ascii="Times New Roman" w:hAnsi="Times New Roman" w:cs="Times New Roman"/>
          <w:color w:val="0D0D0D"/>
          <w:sz w:val="28"/>
          <w:szCs w:val="28"/>
          <w:shd w:val="clear" w:color="auto" w:fill="FFFFFF"/>
        </w:rPr>
        <w:t xml:space="preserve">ють побічні ефекти. Флавоноїди – </w:t>
      </w:r>
      <w:r w:rsidR="00430BEF" w:rsidRPr="00CF22AE">
        <w:rPr>
          <w:rFonts w:ascii="Times New Roman" w:hAnsi="Times New Roman" w:cs="Times New Roman"/>
          <w:color w:val="0D0D0D"/>
          <w:sz w:val="28"/>
          <w:szCs w:val="28"/>
          <w:shd w:val="clear" w:color="auto" w:fill="FFFFFF"/>
        </w:rPr>
        <w:t xml:space="preserve"> це цінні компоненти рослинної сировини з антиоксидантною та гепатопротекторною дією, які здатні не тільки захищати печінку від оксидативного стресу, але й нормалізувати метаболічні процеси у ній [20]. </w:t>
      </w:r>
    </w:p>
    <w:p w:rsidR="00D23561" w:rsidRPr="00CF22AE" w:rsidRDefault="00F827C0"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ab/>
        <w:t xml:space="preserve">Використання </w:t>
      </w:r>
      <w:r w:rsidR="007E3477">
        <w:rPr>
          <w:rFonts w:ascii="Times New Roman" w:eastAsia="Times New Roman" w:hAnsi="Times New Roman" w:cs="Times New Roman"/>
          <w:sz w:val="28"/>
          <w:szCs w:val="28"/>
          <w:lang w:eastAsia="uk-UA"/>
        </w:rPr>
        <w:t>ЛР</w:t>
      </w:r>
      <w:r w:rsidRPr="00CF22AE">
        <w:rPr>
          <w:rFonts w:ascii="Times New Roman" w:eastAsia="Times New Roman" w:hAnsi="Times New Roman" w:cs="Times New Roman"/>
          <w:sz w:val="28"/>
          <w:szCs w:val="28"/>
          <w:lang w:eastAsia="uk-UA"/>
        </w:rPr>
        <w:t xml:space="preserve"> у лікувальних цілях має багатовікову історію та має низку переваг перед фармакотерапією. Одними з найбільш відомих гепатопротекторів, що використовуються понад п'ятдесят років і вважаються еталонами при розробці нових препаратів, є засоби, отримані з рослини розторопші плямистої (</w:t>
      </w:r>
      <w:r w:rsidRPr="00071B13">
        <w:rPr>
          <w:rFonts w:ascii="Times New Roman" w:eastAsia="Times New Roman" w:hAnsi="Times New Roman" w:cs="Times New Roman"/>
          <w:i/>
          <w:sz w:val="28"/>
          <w:szCs w:val="28"/>
          <w:lang w:eastAsia="uk-UA"/>
        </w:rPr>
        <w:t>Silybum marianum L</w:t>
      </w:r>
      <w:r w:rsidRPr="00CF22AE">
        <w:rPr>
          <w:rFonts w:ascii="Times New Roman" w:eastAsia="Times New Roman" w:hAnsi="Times New Roman" w:cs="Times New Roman"/>
          <w:sz w:val="28"/>
          <w:szCs w:val="28"/>
          <w:lang w:eastAsia="uk-UA"/>
        </w:rPr>
        <w:t>.), такі як силібор і силімарин. Активними речовинами препаратів з плодів цієї рослини є флаволігнани, зокрема силібінін (50</w:t>
      </w:r>
      <w:r w:rsidR="001B4373">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sz w:val="28"/>
          <w:szCs w:val="28"/>
          <w:lang w:eastAsia="uk-UA"/>
        </w:rPr>
        <w:t>%), а також ізосилібінін, силіхристин і силідіанін, які мають фенілхроманову структуру. Легалон (</w:t>
      </w:r>
      <w:r w:rsidRPr="00D77518">
        <w:rPr>
          <w:rFonts w:ascii="Times New Roman" w:eastAsia="Times New Roman" w:hAnsi="Times New Roman" w:cs="Times New Roman"/>
          <w:i/>
          <w:sz w:val="28"/>
          <w:szCs w:val="28"/>
          <w:lang w:eastAsia="uk-UA"/>
        </w:rPr>
        <w:t>Legalon)</w:t>
      </w:r>
      <w:r w:rsidRPr="00CF22AE">
        <w:rPr>
          <w:rFonts w:ascii="Times New Roman" w:eastAsia="Times New Roman" w:hAnsi="Times New Roman" w:cs="Times New Roman"/>
          <w:sz w:val="28"/>
          <w:szCs w:val="28"/>
          <w:lang w:eastAsia="uk-UA"/>
        </w:rPr>
        <w:t xml:space="preserve"> є високоочищеною сумішшю флаволігнанів, виділених з рослини Silybum marianum. Подібні за складом та дією препарати виробляються у різних країнах під різними назвами, такими як Carsil, Silimarin, Silybin, Apihepar, Hepadestal та інші. Численні експериментальні дані підтверджують високу гепатопротекторну активність </w:t>
      </w:r>
      <w:r w:rsidR="007E3477">
        <w:rPr>
          <w:rFonts w:ascii="Times New Roman" w:eastAsia="Times New Roman" w:hAnsi="Times New Roman" w:cs="Times New Roman"/>
          <w:sz w:val="28"/>
          <w:szCs w:val="28"/>
          <w:lang w:eastAsia="uk-UA"/>
        </w:rPr>
        <w:t>ЛЗ</w:t>
      </w:r>
      <w:r w:rsidRPr="00CF22AE">
        <w:rPr>
          <w:rFonts w:ascii="Times New Roman" w:eastAsia="Times New Roman" w:hAnsi="Times New Roman" w:cs="Times New Roman"/>
          <w:sz w:val="28"/>
          <w:szCs w:val="28"/>
          <w:lang w:eastAsia="uk-UA"/>
        </w:rPr>
        <w:t xml:space="preserve">, отриманих з розторопші плямистої. Як ефективні жовчогінні засоби здавна використовуються флавоноїдні препарати, які позитивно впливають на функціональний стан печінки. Фламін є сухим концентратом цміну піщаного, що містить суму </w:t>
      </w:r>
      <w:r w:rsidR="008201FB" w:rsidRPr="00CF22AE">
        <w:rPr>
          <w:rFonts w:ascii="Times New Roman" w:eastAsia="Times New Roman" w:hAnsi="Times New Roman" w:cs="Times New Roman"/>
          <w:sz w:val="28"/>
          <w:szCs w:val="28"/>
          <w:lang w:eastAsia="uk-UA"/>
        </w:rPr>
        <w:t xml:space="preserve">флавоноїдів </w:t>
      </w:r>
      <w:r w:rsidR="00430BEF" w:rsidRPr="00CF22AE">
        <w:rPr>
          <w:rFonts w:ascii="Times New Roman" w:eastAsia="Times New Roman" w:hAnsi="Times New Roman" w:cs="Times New Roman"/>
          <w:sz w:val="28"/>
          <w:szCs w:val="28"/>
          <w:lang w:eastAsia="uk-UA"/>
        </w:rPr>
        <w:t>[21</w:t>
      </w:r>
      <w:r w:rsidR="00D73DA4" w:rsidRPr="00CF22AE">
        <w:rPr>
          <w:rFonts w:ascii="Times New Roman" w:eastAsia="Times New Roman" w:hAnsi="Times New Roman" w:cs="Times New Roman"/>
          <w:sz w:val="28"/>
          <w:szCs w:val="28"/>
          <w:lang w:eastAsia="uk-UA"/>
        </w:rPr>
        <w:t>]</w:t>
      </w:r>
      <w:r w:rsidR="008201FB" w:rsidRPr="00CF22AE">
        <w:rPr>
          <w:rFonts w:ascii="Times New Roman" w:eastAsia="Times New Roman" w:hAnsi="Times New Roman" w:cs="Times New Roman"/>
          <w:sz w:val="28"/>
          <w:szCs w:val="28"/>
          <w:lang w:eastAsia="uk-UA"/>
        </w:rPr>
        <w:t>.</w:t>
      </w:r>
    </w:p>
    <w:p w:rsidR="00F827C0" w:rsidRPr="00CF22AE" w:rsidRDefault="00D73DA4"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Флавоноїди складають різноманітну групу сполук, які у великій кількості містяться в нашому раціоні. Споживання флавоноїдів асоціюється з численними перевагами для здоров’я. Спочатку їхня користь пояснювалася потужною антиоксидантною активністю. Проте подальші дослідження показали, що інші властивості, такі як протизапальні та метаболічні ефекти, також мають значення. Очевидно, що флавоноїди демонструють багато різних активностей, і тому ці сполуки з антиоксидантів були переосмисле</w:t>
      </w:r>
      <w:r w:rsidR="008201FB" w:rsidRPr="00CF22AE">
        <w:rPr>
          <w:rFonts w:ascii="Times New Roman" w:eastAsia="Times New Roman" w:hAnsi="Times New Roman" w:cs="Times New Roman"/>
          <w:sz w:val="28"/>
          <w:szCs w:val="28"/>
          <w:lang w:eastAsia="uk-UA"/>
        </w:rPr>
        <w:t xml:space="preserve">ні як біологічно активні агенти </w:t>
      </w:r>
      <w:r w:rsidR="00430BEF" w:rsidRPr="00CF22AE">
        <w:rPr>
          <w:rFonts w:ascii="Times New Roman" w:eastAsia="Times New Roman" w:hAnsi="Times New Roman" w:cs="Times New Roman"/>
          <w:sz w:val="28"/>
          <w:szCs w:val="28"/>
          <w:lang w:eastAsia="uk-UA"/>
        </w:rPr>
        <w:t>[22</w:t>
      </w:r>
      <w:r w:rsidRPr="00CF22AE">
        <w:rPr>
          <w:rFonts w:ascii="Times New Roman" w:eastAsia="Times New Roman" w:hAnsi="Times New Roman" w:cs="Times New Roman"/>
          <w:sz w:val="28"/>
          <w:szCs w:val="28"/>
          <w:lang w:eastAsia="uk-UA"/>
        </w:rPr>
        <w:t xml:space="preserve">] </w:t>
      </w:r>
      <w:r w:rsidR="008201FB" w:rsidRPr="00CF22AE">
        <w:rPr>
          <w:rFonts w:ascii="Times New Roman" w:eastAsia="Times New Roman" w:hAnsi="Times New Roman" w:cs="Times New Roman"/>
          <w:sz w:val="28"/>
          <w:szCs w:val="28"/>
          <w:lang w:eastAsia="uk-UA"/>
        </w:rPr>
        <w:t>.</w:t>
      </w:r>
    </w:p>
    <w:p w:rsidR="00D23561" w:rsidRPr="00CF22AE" w:rsidRDefault="00F827C0"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Іншим класом біологічно активних речовин, що мають гепатопротекторну дію, є похідні гліциризинової кислоти, які зараз використовуються для лікування хронічних гепатитів. Серед них: гліцирам, гліциризин у вигляді водного екстракту з кореня солодки, та сапонін B2-тритерпеновий диглюкурозид. У дослідженні Shibayama Y. на щурах з експериментальним токсичним ураженням печінки було виявлено, що гліциризин, введений перед впливом тетрахлорметану або алілформату, може блокувати розвиток перицентральн</w:t>
      </w:r>
      <w:r w:rsidR="008201FB" w:rsidRPr="00CF22AE">
        <w:rPr>
          <w:rFonts w:ascii="Times New Roman" w:eastAsia="Times New Roman" w:hAnsi="Times New Roman" w:cs="Times New Roman"/>
          <w:sz w:val="28"/>
          <w:szCs w:val="28"/>
          <w:lang w:eastAsia="uk-UA"/>
        </w:rPr>
        <w:t>их печінкових некрозів</w:t>
      </w:r>
      <w:r w:rsidR="00D2525F" w:rsidRPr="00CF22AE">
        <w:rPr>
          <w:rFonts w:ascii="Times New Roman" w:eastAsia="Times New Roman" w:hAnsi="Times New Roman" w:cs="Times New Roman"/>
          <w:sz w:val="28"/>
          <w:szCs w:val="28"/>
          <w:lang w:eastAsia="uk-UA"/>
        </w:rPr>
        <w:t xml:space="preserve"> [</w:t>
      </w:r>
      <w:r w:rsidR="00430BEF" w:rsidRPr="00CF22AE">
        <w:rPr>
          <w:rFonts w:ascii="Times New Roman" w:eastAsia="Times New Roman" w:hAnsi="Times New Roman" w:cs="Times New Roman"/>
          <w:sz w:val="28"/>
          <w:szCs w:val="28"/>
          <w:lang w:eastAsia="uk-UA"/>
        </w:rPr>
        <w:t>21</w:t>
      </w:r>
      <w:r w:rsidR="00D2525F" w:rsidRPr="00CF22AE">
        <w:rPr>
          <w:rFonts w:ascii="Times New Roman" w:eastAsia="Times New Roman" w:hAnsi="Times New Roman" w:cs="Times New Roman"/>
          <w:sz w:val="28"/>
          <w:szCs w:val="28"/>
          <w:lang w:eastAsia="uk-UA"/>
        </w:rPr>
        <w:t xml:space="preserve">] </w:t>
      </w:r>
      <w:r w:rsidR="00981F31" w:rsidRPr="00CF22AE">
        <w:rPr>
          <w:rFonts w:ascii="Times New Roman" w:eastAsia="Times New Roman" w:hAnsi="Times New Roman" w:cs="Times New Roman"/>
          <w:sz w:val="28"/>
          <w:szCs w:val="28"/>
          <w:lang w:eastAsia="uk-UA"/>
        </w:rPr>
        <w:t>.</w:t>
      </w:r>
    </w:p>
    <w:p w:rsidR="008201FB" w:rsidRPr="00CF22AE" w:rsidRDefault="00D23561" w:rsidP="00DB7D0E">
      <w:pPr>
        <w:pStyle w:val="a7"/>
        <w:autoSpaceDE w:val="0"/>
        <w:autoSpaceDN w:val="0"/>
        <w:spacing w:after="0" w:line="360" w:lineRule="auto"/>
        <w:ind w:left="465"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     </w:t>
      </w:r>
      <w:r w:rsidR="00603CC2" w:rsidRPr="00CF22AE">
        <w:rPr>
          <w:rFonts w:ascii="Times New Roman" w:eastAsia="Times New Roman" w:hAnsi="Times New Roman" w:cs="Times New Roman"/>
          <w:sz w:val="28"/>
          <w:szCs w:val="28"/>
          <w:lang w:eastAsia="uk-UA"/>
        </w:rPr>
        <w:t xml:space="preserve">Силімарин </w:t>
      </w:r>
      <w:r w:rsidR="00D77518">
        <w:rPr>
          <w:rFonts w:ascii="Times New Roman" w:eastAsia="Times New Roman" w:hAnsi="Times New Roman" w:cs="Times New Roman"/>
          <w:sz w:val="28"/>
          <w:szCs w:val="28"/>
          <w:lang w:eastAsia="uk-UA"/>
        </w:rPr>
        <w:t>–</w:t>
      </w:r>
      <w:r w:rsidR="00603CC2" w:rsidRPr="00CF22AE">
        <w:rPr>
          <w:rFonts w:ascii="Times New Roman" w:eastAsia="Times New Roman" w:hAnsi="Times New Roman" w:cs="Times New Roman"/>
          <w:sz w:val="28"/>
          <w:szCs w:val="28"/>
          <w:lang w:eastAsia="uk-UA"/>
        </w:rPr>
        <w:t xml:space="preserve"> це природна речовина, яка отримується з рослини </w:t>
      </w:r>
      <w:r w:rsidR="00603CC2" w:rsidRPr="00071B13">
        <w:rPr>
          <w:rFonts w:ascii="Times New Roman" w:eastAsia="Times New Roman" w:hAnsi="Times New Roman" w:cs="Times New Roman"/>
          <w:i/>
          <w:sz w:val="28"/>
          <w:szCs w:val="28"/>
          <w:lang w:eastAsia="uk-UA"/>
        </w:rPr>
        <w:t>Silybum marianum</w:t>
      </w:r>
      <w:r w:rsidR="00603CC2" w:rsidRPr="00CF22AE">
        <w:rPr>
          <w:rFonts w:ascii="Times New Roman" w:eastAsia="Times New Roman" w:hAnsi="Times New Roman" w:cs="Times New Roman"/>
          <w:sz w:val="28"/>
          <w:szCs w:val="28"/>
          <w:lang w:eastAsia="uk-UA"/>
        </w:rPr>
        <w:t>, відомої як розторопша. Вона містить принаймні сім флаволігандів та флавоноїд таксіфолін. Гепатопротекторна та антиоксидантна дія силімарину зумовлена ​​його здатністю пригнічувати утворення вільних радикалів, які виникають під час метаболізму токсичних речовин, таких як етанол, ацетамінофен і чотирихлористий вуглець. Формування вільних радикалів може призводити до пошкодження клітинних мембран і липопероксидації. Силімарин сприяє збільшенню рівня глутатіону в печінці і може забезпечувати антиоксидантний захист. Дослідження показали, що силімарин стимулює синтез білка в гепатоцитах, активуючи РНК-полімеразу І. Попередні дослідження на людях показали, що лікування силімарином призвело до певного підвищення виживаності пацієнтів із цирозом через алкоголізм порівняно з гру</w:t>
      </w:r>
      <w:r w:rsidR="00DA6DEB" w:rsidRPr="00CF22AE">
        <w:rPr>
          <w:rFonts w:ascii="Times New Roman" w:eastAsia="Times New Roman" w:hAnsi="Times New Roman" w:cs="Times New Roman"/>
          <w:sz w:val="28"/>
          <w:szCs w:val="28"/>
          <w:lang w:eastAsia="uk-UA"/>
        </w:rPr>
        <w:t xml:space="preserve">пою контролю, яка не отримувала </w:t>
      </w:r>
      <w:r w:rsidR="00603CC2" w:rsidRPr="00CF22AE">
        <w:rPr>
          <w:rFonts w:ascii="Times New Roman" w:eastAsia="Times New Roman" w:hAnsi="Times New Roman" w:cs="Times New Roman"/>
          <w:sz w:val="28"/>
          <w:szCs w:val="28"/>
          <w:lang w:eastAsia="uk-UA"/>
        </w:rPr>
        <w:t>лікування</w:t>
      </w:r>
      <w:r w:rsidR="00430BEF" w:rsidRPr="00CF22AE">
        <w:rPr>
          <w:rFonts w:ascii="Times New Roman" w:eastAsia="Times New Roman" w:hAnsi="Times New Roman" w:cs="Times New Roman"/>
          <w:sz w:val="28"/>
          <w:szCs w:val="28"/>
          <w:lang w:eastAsia="uk-UA"/>
        </w:rPr>
        <w:t xml:space="preserve"> [23</w:t>
      </w:r>
      <w:r w:rsidR="00D2525F" w:rsidRPr="00CF22AE">
        <w:rPr>
          <w:rFonts w:ascii="Times New Roman" w:eastAsia="Times New Roman" w:hAnsi="Times New Roman" w:cs="Times New Roman"/>
          <w:sz w:val="28"/>
          <w:szCs w:val="28"/>
          <w:lang w:eastAsia="uk-UA"/>
        </w:rPr>
        <w:t xml:space="preserve">] </w:t>
      </w:r>
      <w:r w:rsidR="00981F31" w:rsidRPr="00CF22AE">
        <w:rPr>
          <w:rFonts w:ascii="Times New Roman" w:eastAsia="Times New Roman" w:hAnsi="Times New Roman" w:cs="Times New Roman"/>
          <w:sz w:val="28"/>
          <w:szCs w:val="28"/>
          <w:lang w:eastAsia="uk-UA"/>
        </w:rPr>
        <w:t>.</w:t>
      </w:r>
    </w:p>
    <w:p w:rsidR="008201FB" w:rsidRPr="00CF22AE" w:rsidRDefault="008201FB"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p>
    <w:p w:rsidR="00AE3692" w:rsidRPr="00CF22AE" w:rsidRDefault="00AE3692"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1.2 Пирій повзучий – перспективна рослинна сировина для створення лікарських засобів</w:t>
      </w:r>
    </w:p>
    <w:p w:rsidR="00764AA5" w:rsidRPr="00CF22AE" w:rsidRDefault="00764AA5" w:rsidP="00D77518">
      <w:pPr>
        <w:pStyle w:val="a7"/>
        <w:spacing w:line="360" w:lineRule="auto"/>
        <w:ind w:left="495" w:firstLine="709"/>
        <w:jc w:val="center"/>
        <w:rPr>
          <w:rFonts w:ascii="Times New Roman" w:hAnsi="Times New Roman" w:cs="Times New Roman"/>
          <w:sz w:val="28"/>
          <w:szCs w:val="28"/>
        </w:rPr>
      </w:pPr>
      <w:r w:rsidRPr="00CF22AE">
        <w:rPr>
          <w:rFonts w:ascii="Times New Roman" w:hAnsi="Times New Roman" w:cs="Times New Roman"/>
          <w:noProof/>
          <w:sz w:val="28"/>
          <w:szCs w:val="28"/>
          <w:lang w:eastAsia="uk-UA"/>
        </w:rPr>
        <w:drawing>
          <wp:inline distT="0" distB="0" distL="0" distR="0" wp14:anchorId="21C6A27A" wp14:editId="5C53DB7D">
            <wp:extent cx="2073349" cy="2692662"/>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riy_povzuchiy_2.jpg"/>
                    <pic:cNvPicPr/>
                  </pic:nvPicPr>
                  <pic:blipFill>
                    <a:blip r:embed="rId8">
                      <a:extLst>
                        <a:ext uri="{28A0092B-C50C-407E-A947-70E740481C1C}">
                          <a14:useLocalDpi xmlns:a14="http://schemas.microsoft.com/office/drawing/2010/main" val="0"/>
                        </a:ext>
                      </a:extLst>
                    </a:blip>
                    <a:stretch>
                      <a:fillRect/>
                    </a:stretch>
                  </pic:blipFill>
                  <pic:spPr>
                    <a:xfrm>
                      <a:off x="0" y="0"/>
                      <a:ext cx="2070872" cy="2689446"/>
                    </a:xfrm>
                    <a:prstGeom prst="rect">
                      <a:avLst/>
                    </a:prstGeom>
                  </pic:spPr>
                </pic:pic>
              </a:graphicData>
            </a:graphic>
          </wp:inline>
        </w:drawing>
      </w:r>
    </w:p>
    <w:p w:rsidR="00B0771A" w:rsidRPr="00CF22AE" w:rsidRDefault="00B0771A" w:rsidP="00D77518">
      <w:pPr>
        <w:pStyle w:val="a7"/>
        <w:spacing w:line="360" w:lineRule="auto"/>
        <w:ind w:left="495" w:firstLine="709"/>
        <w:jc w:val="center"/>
        <w:rPr>
          <w:rFonts w:ascii="Times New Roman" w:hAnsi="Times New Roman" w:cs="Times New Roman"/>
          <w:sz w:val="28"/>
          <w:szCs w:val="28"/>
        </w:rPr>
      </w:pPr>
      <w:r w:rsidRPr="00CF22AE">
        <w:rPr>
          <w:rFonts w:ascii="Times New Roman" w:hAnsi="Times New Roman" w:cs="Times New Roman"/>
          <w:sz w:val="28"/>
          <w:szCs w:val="28"/>
        </w:rPr>
        <w:t>Рис</w:t>
      </w:r>
      <w:r w:rsidR="008201FB" w:rsidRPr="00CF22AE">
        <w:rPr>
          <w:rFonts w:ascii="Times New Roman" w:hAnsi="Times New Roman" w:cs="Times New Roman"/>
          <w:sz w:val="28"/>
          <w:szCs w:val="28"/>
        </w:rPr>
        <w:t xml:space="preserve">унок 1.1 </w:t>
      </w:r>
      <w:r w:rsidR="00D77518">
        <w:rPr>
          <w:rFonts w:ascii="Times New Roman" w:eastAsia="Times New Roman" w:hAnsi="Times New Roman" w:cs="Times New Roman"/>
          <w:sz w:val="28"/>
          <w:szCs w:val="28"/>
          <w:lang w:eastAsia="uk-UA"/>
        </w:rPr>
        <w:t xml:space="preserve">– </w:t>
      </w:r>
      <w:r w:rsidR="008201FB" w:rsidRPr="00CF22AE">
        <w:rPr>
          <w:rFonts w:ascii="Times New Roman" w:hAnsi="Times New Roman" w:cs="Times New Roman"/>
          <w:sz w:val="28"/>
          <w:szCs w:val="28"/>
        </w:rPr>
        <w:t>Загальний вигляд пирію</w:t>
      </w:r>
      <w:r w:rsidRPr="00CF22AE">
        <w:rPr>
          <w:rFonts w:ascii="Times New Roman" w:hAnsi="Times New Roman" w:cs="Times New Roman"/>
          <w:sz w:val="28"/>
          <w:szCs w:val="28"/>
        </w:rPr>
        <w:t xml:space="preserve"> повзучого</w:t>
      </w:r>
    </w:p>
    <w:p w:rsidR="00764AA5" w:rsidRPr="001241BD" w:rsidRDefault="00764AA5" w:rsidP="001241BD">
      <w:pPr>
        <w:pStyle w:val="a7"/>
        <w:spacing w:after="160" w:line="360" w:lineRule="auto"/>
        <w:ind w:left="708" w:firstLine="709"/>
        <w:jc w:val="both"/>
        <w:rPr>
          <w:rFonts w:ascii="Times New Roman" w:hAnsi="Times New Roman" w:cs="Times New Roman"/>
          <w:b/>
          <w:sz w:val="28"/>
          <w:szCs w:val="28"/>
        </w:rPr>
      </w:pPr>
      <w:r w:rsidRPr="00CF22AE">
        <w:rPr>
          <w:rFonts w:ascii="Times New Roman" w:hAnsi="Times New Roman" w:cs="Times New Roman"/>
          <w:sz w:val="28"/>
          <w:szCs w:val="28"/>
        </w:rPr>
        <w:t>Пирій повзучий (</w:t>
      </w:r>
      <w:r w:rsidRPr="00CF22AE">
        <w:rPr>
          <w:rFonts w:ascii="Times New Roman" w:hAnsi="Times New Roman" w:cs="Times New Roman"/>
          <w:i/>
          <w:sz w:val="28"/>
          <w:szCs w:val="28"/>
        </w:rPr>
        <w:t>Agropiron repens</w:t>
      </w:r>
      <w:r w:rsidRPr="00CF22AE">
        <w:rPr>
          <w:rFonts w:ascii="Times New Roman" w:hAnsi="Times New Roman" w:cs="Times New Roman"/>
          <w:sz w:val="28"/>
          <w:szCs w:val="28"/>
        </w:rPr>
        <w:t xml:space="preserve">(L.)) належить до роду </w:t>
      </w:r>
      <w:r w:rsidRPr="00CF22AE">
        <w:rPr>
          <w:rFonts w:ascii="Times New Roman" w:hAnsi="Times New Roman" w:cs="Times New Roman"/>
          <w:i/>
          <w:sz w:val="28"/>
          <w:szCs w:val="28"/>
        </w:rPr>
        <w:t>Poaceae</w:t>
      </w:r>
      <w:r w:rsidR="001241BD">
        <w:rPr>
          <w:rFonts w:ascii="Times New Roman" w:hAnsi="Times New Roman" w:cs="Times New Roman"/>
          <w:sz w:val="28"/>
          <w:szCs w:val="28"/>
        </w:rPr>
        <w:t xml:space="preserve"> </w:t>
      </w:r>
      <w:r w:rsidR="00430BEF" w:rsidRPr="00CF22AE">
        <w:rPr>
          <w:rFonts w:ascii="Times New Roman" w:hAnsi="Times New Roman" w:cs="Times New Roman"/>
          <w:sz w:val="28"/>
          <w:szCs w:val="28"/>
        </w:rPr>
        <w:t>[</w:t>
      </w:r>
      <w:r w:rsidR="00FF6BA8" w:rsidRPr="00CF22AE">
        <w:rPr>
          <w:rFonts w:ascii="Times New Roman" w:hAnsi="Times New Roman" w:cs="Times New Roman"/>
          <w:sz w:val="28"/>
          <w:szCs w:val="28"/>
        </w:rPr>
        <w:t>24</w:t>
      </w:r>
      <w:r w:rsidR="00430BEF" w:rsidRPr="00CF22AE">
        <w:rPr>
          <w:rFonts w:ascii="Times New Roman" w:hAnsi="Times New Roman" w:cs="Times New Roman"/>
          <w:sz w:val="28"/>
          <w:szCs w:val="28"/>
        </w:rPr>
        <w:t>]</w:t>
      </w:r>
      <w:r w:rsidR="001241BD">
        <w:rPr>
          <w:rFonts w:ascii="Times New Roman" w:hAnsi="Times New Roman" w:cs="Times New Roman"/>
          <w:sz w:val="28"/>
          <w:szCs w:val="28"/>
        </w:rPr>
        <w:t xml:space="preserve"> і </w:t>
      </w:r>
      <w:r w:rsidRPr="001241BD">
        <w:rPr>
          <w:rFonts w:ascii="Times New Roman" w:hAnsi="Times New Roman" w:cs="Times New Roman"/>
          <w:sz w:val="28"/>
          <w:szCs w:val="28"/>
        </w:rPr>
        <w:t xml:space="preserve">походить з Європи та середньої Азії, але широко поширена у світі. Пирій знають переважно як бур’ян і </w:t>
      </w:r>
      <w:r w:rsidR="00430BEF" w:rsidRPr="001241BD">
        <w:rPr>
          <w:rFonts w:ascii="Times New Roman" w:hAnsi="Times New Roman" w:cs="Times New Roman"/>
          <w:sz w:val="28"/>
          <w:szCs w:val="28"/>
        </w:rPr>
        <w:t>частково через народну медицину [</w:t>
      </w:r>
      <w:r w:rsidR="00FF6BA8" w:rsidRPr="001241BD">
        <w:rPr>
          <w:rFonts w:ascii="Times New Roman" w:hAnsi="Times New Roman" w:cs="Times New Roman"/>
          <w:sz w:val="28"/>
          <w:szCs w:val="28"/>
        </w:rPr>
        <w:t>25</w:t>
      </w:r>
      <w:r w:rsidR="00430BEF" w:rsidRPr="001241BD">
        <w:rPr>
          <w:rFonts w:ascii="Times New Roman" w:hAnsi="Times New Roman" w:cs="Times New Roman"/>
          <w:sz w:val="28"/>
          <w:szCs w:val="28"/>
        </w:rPr>
        <w:t>].</w:t>
      </w:r>
      <w:r w:rsidR="00FF6BA8" w:rsidRPr="001241BD">
        <w:rPr>
          <w:rFonts w:ascii="Times New Roman" w:hAnsi="Times New Roman" w:cs="Times New Roman"/>
          <w:sz w:val="28"/>
          <w:szCs w:val="28"/>
        </w:rPr>
        <w:t xml:space="preserve"> </w:t>
      </w: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r w:rsidRPr="00CF22AE">
        <w:rPr>
          <w:rFonts w:ascii="Times New Roman" w:hAnsi="Times New Roman" w:cs="Times New Roman"/>
          <w:sz w:val="28"/>
          <w:szCs w:val="28"/>
        </w:rPr>
        <w:tab/>
        <w:t xml:space="preserve">Пирій повзучий </w:t>
      </w:r>
      <w:r w:rsidR="00D77518">
        <w:rPr>
          <w:rFonts w:ascii="Times New Roman" w:eastAsia="Times New Roman" w:hAnsi="Times New Roman" w:cs="Times New Roman"/>
          <w:sz w:val="28"/>
          <w:szCs w:val="28"/>
          <w:lang w:eastAsia="uk-UA"/>
        </w:rPr>
        <w:t xml:space="preserve">– </w:t>
      </w:r>
      <w:r w:rsidRPr="00CF22AE">
        <w:rPr>
          <w:rFonts w:ascii="Times New Roman" w:hAnsi="Times New Roman" w:cs="Times New Roman"/>
          <w:sz w:val="28"/>
          <w:szCs w:val="28"/>
        </w:rPr>
        <w:t>це багаторічна трав’яниста рослина. Кореневища циліндричні,  горизонтальні,  тонкі, повзучі</w:t>
      </w:r>
      <w:r w:rsidR="001241BD">
        <w:rPr>
          <w:rFonts w:ascii="Times New Roman" w:hAnsi="Times New Roman" w:cs="Times New Roman"/>
          <w:sz w:val="28"/>
          <w:szCs w:val="28"/>
        </w:rPr>
        <w:t xml:space="preserve"> </w:t>
      </w:r>
      <w:r w:rsidRPr="00CF22AE">
        <w:rPr>
          <w:rFonts w:ascii="Times New Roman" w:hAnsi="Times New Roman" w:cs="Times New Roman"/>
          <w:sz w:val="28"/>
          <w:szCs w:val="28"/>
        </w:rPr>
        <w:t>,довгі</w:t>
      </w:r>
      <w:r w:rsidR="001241BD">
        <w:rPr>
          <w:rFonts w:ascii="Times New Roman" w:hAnsi="Times New Roman" w:cs="Times New Roman"/>
          <w:sz w:val="28"/>
          <w:szCs w:val="28"/>
        </w:rPr>
        <w:t xml:space="preserve"> </w:t>
      </w:r>
      <w:r w:rsidRPr="00CF22AE">
        <w:rPr>
          <w:rFonts w:ascii="Times New Roman" w:hAnsi="Times New Roman" w:cs="Times New Roman"/>
          <w:sz w:val="28"/>
          <w:szCs w:val="28"/>
        </w:rPr>
        <w:t>(2-4 м в довжину), сильно розгалужені, жовтувато-білі, гострі, м’ясисті. Стебла прямостоячі, зазвичай 30- 40 см у висоту. Листки 1-3 см завширшки, пласкі, загострені. Листяні пластинки часто звужуються біля кінчика, зверху рідко вкриті волосками, а знизу безволосі. Колоски розташовані у два довгі ряди і прикріплені до стебла. Квітки є як і без осеві так і коротко осеві. Насіння еліп</w:t>
      </w:r>
      <w:r w:rsidR="00430BEF" w:rsidRPr="00CF22AE">
        <w:rPr>
          <w:rFonts w:ascii="Times New Roman" w:hAnsi="Times New Roman" w:cs="Times New Roman"/>
          <w:sz w:val="28"/>
          <w:szCs w:val="28"/>
        </w:rPr>
        <w:t>тичне, блідо-жовте чи коричневе [</w:t>
      </w:r>
      <w:r w:rsidR="00667C37" w:rsidRPr="00CF22AE">
        <w:rPr>
          <w:rFonts w:ascii="Times New Roman" w:hAnsi="Times New Roman" w:cs="Times New Roman"/>
          <w:sz w:val="28"/>
          <w:szCs w:val="28"/>
        </w:rPr>
        <w:t>24</w:t>
      </w:r>
      <w:r w:rsidR="00430BEF" w:rsidRPr="00CF22AE">
        <w:rPr>
          <w:rFonts w:ascii="Times New Roman" w:hAnsi="Times New Roman" w:cs="Times New Roman"/>
          <w:sz w:val="28"/>
          <w:szCs w:val="28"/>
        </w:rPr>
        <w:t>].</w:t>
      </w: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r w:rsidRPr="00CF22AE">
        <w:rPr>
          <w:rFonts w:ascii="Times New Roman" w:hAnsi="Times New Roman" w:cs="Times New Roman"/>
          <w:sz w:val="28"/>
          <w:szCs w:val="28"/>
        </w:rPr>
        <w:tab/>
        <w:t>Пирій повзучий широко поширена рослина,</w:t>
      </w:r>
      <w:r w:rsidR="00305862" w:rsidRPr="00CF22AE">
        <w:rPr>
          <w:rFonts w:ascii="Times New Roman" w:hAnsi="Times New Roman" w:cs="Times New Roman"/>
          <w:sz w:val="28"/>
          <w:szCs w:val="28"/>
        </w:rPr>
        <w:t xml:space="preserve"> </w:t>
      </w:r>
      <w:r w:rsidRPr="00CF22AE">
        <w:rPr>
          <w:rFonts w:ascii="Times New Roman" w:hAnsi="Times New Roman" w:cs="Times New Roman"/>
          <w:sz w:val="28"/>
          <w:szCs w:val="28"/>
        </w:rPr>
        <w:t>він населяє майже всі типи ґрунтів, крім найлегших пісків, і є стійким до затоплення протягом десятків днів. Його характерною особливістю є розвиток одразу 2-х ефективних способів розмноження як насінням так і за допомогю кореневища. Для того щоб з’явилась нова рослина достатньо лише короткої  частини кореневища. Пирій поширюється зі значною швидкістю і своєю появою на земельній ділянці перешкоджає  росту іншим культурам, конкуруючи з ни</w:t>
      </w:r>
      <w:r w:rsidR="00430BEF" w:rsidRPr="00CF22AE">
        <w:rPr>
          <w:rFonts w:ascii="Times New Roman" w:hAnsi="Times New Roman" w:cs="Times New Roman"/>
          <w:sz w:val="28"/>
          <w:szCs w:val="28"/>
        </w:rPr>
        <w:t>ми за поживні речовини та воду [</w:t>
      </w:r>
      <w:r w:rsidR="00667C37" w:rsidRPr="00CF22AE">
        <w:rPr>
          <w:rFonts w:ascii="Times New Roman" w:hAnsi="Times New Roman" w:cs="Times New Roman"/>
          <w:sz w:val="28"/>
          <w:szCs w:val="28"/>
        </w:rPr>
        <w:t>26</w:t>
      </w:r>
      <w:r w:rsidR="00430BEF" w:rsidRPr="00CF22AE">
        <w:rPr>
          <w:rFonts w:ascii="Times New Roman" w:hAnsi="Times New Roman" w:cs="Times New Roman"/>
          <w:sz w:val="28"/>
          <w:szCs w:val="28"/>
        </w:rPr>
        <w:t>].</w:t>
      </w:r>
      <w:r w:rsidR="00667C37" w:rsidRPr="00CF22AE">
        <w:t xml:space="preserve"> </w:t>
      </w: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r w:rsidRPr="00CF22AE">
        <w:rPr>
          <w:rFonts w:ascii="Times New Roman" w:hAnsi="Times New Roman" w:cs="Times New Roman"/>
          <w:sz w:val="28"/>
          <w:szCs w:val="28"/>
        </w:rPr>
        <w:tab/>
      </w:r>
    </w:p>
    <w:p w:rsidR="00764AA5" w:rsidRPr="00CF22AE" w:rsidRDefault="00764AA5" w:rsidP="00DB7D0E">
      <w:pPr>
        <w:pStyle w:val="a7"/>
        <w:spacing w:line="360" w:lineRule="auto"/>
        <w:ind w:left="495" w:firstLine="709"/>
        <w:jc w:val="both"/>
        <w:rPr>
          <w:rFonts w:ascii="Times New Roman" w:hAnsi="Times New Roman" w:cs="Times New Roman"/>
          <w:sz w:val="28"/>
          <w:szCs w:val="28"/>
        </w:rPr>
      </w:pPr>
      <w:r w:rsidRPr="00CF22AE">
        <w:rPr>
          <w:rFonts w:ascii="Times New Roman" w:hAnsi="Times New Roman" w:cs="Times New Roman"/>
          <w:sz w:val="28"/>
          <w:szCs w:val="28"/>
        </w:rPr>
        <w:tab/>
        <w:t>Його лікувальні властивості пов’язані з вмістом багатьох БАР. Пирій в своєму складі містить вуглеводи (фруктозу, глюкозу,</w:t>
      </w:r>
      <w:r w:rsidR="00CB1FD1">
        <w:rPr>
          <w:rFonts w:ascii="Times New Roman" w:hAnsi="Times New Roman" w:cs="Times New Roman"/>
          <w:sz w:val="28"/>
          <w:szCs w:val="28"/>
        </w:rPr>
        <w:t xml:space="preserve"> </w:t>
      </w:r>
      <w:r w:rsidRPr="00CF22AE">
        <w:rPr>
          <w:rFonts w:ascii="Times New Roman" w:hAnsi="Times New Roman" w:cs="Times New Roman"/>
          <w:sz w:val="28"/>
          <w:szCs w:val="28"/>
        </w:rPr>
        <w:t>інозит, маніт), слизові речовини, пектин, тритицин, ціаногенетичні глікозиди, флавоноїди, с</w:t>
      </w:r>
      <w:r w:rsidR="00CB1FD1">
        <w:rPr>
          <w:rFonts w:ascii="Times New Roman" w:hAnsi="Times New Roman" w:cs="Times New Roman"/>
          <w:sz w:val="28"/>
          <w:szCs w:val="28"/>
        </w:rPr>
        <w:t>апоніни, фітонциди, ефірна олія</w:t>
      </w:r>
      <w:r w:rsidRPr="00CF22AE">
        <w:rPr>
          <w:rFonts w:ascii="Times New Roman" w:hAnsi="Times New Roman" w:cs="Times New Roman"/>
          <w:sz w:val="28"/>
          <w:szCs w:val="28"/>
        </w:rPr>
        <w:t>, моноте</w:t>
      </w:r>
      <w:r w:rsidR="0037081F">
        <w:rPr>
          <w:rFonts w:ascii="Times New Roman" w:hAnsi="Times New Roman" w:cs="Times New Roman"/>
          <w:sz w:val="28"/>
          <w:szCs w:val="28"/>
        </w:rPr>
        <w:t>рпени (карвакрол, карвон, транс</w:t>
      </w:r>
      <w:r w:rsidRPr="00CF22AE">
        <w:rPr>
          <w:rFonts w:ascii="Times New Roman" w:hAnsi="Times New Roman" w:cs="Times New Roman"/>
          <w:sz w:val="28"/>
          <w:szCs w:val="28"/>
        </w:rPr>
        <w:t>анетол, тимол і ментол, серед інших) і сесквітерпени, монотерпени (серед інших карвакрол, карвон, трансанетол, тимол і ментол). Інші компоненти включали глікозид  ваніліну, залізо та інші мінерали, а та</w:t>
      </w:r>
      <w:r w:rsidR="00430BEF" w:rsidRPr="00CF22AE">
        <w:rPr>
          <w:rFonts w:ascii="Times New Roman" w:hAnsi="Times New Roman" w:cs="Times New Roman"/>
          <w:sz w:val="28"/>
          <w:szCs w:val="28"/>
        </w:rPr>
        <w:t>кож велику кількість кремнезему [</w:t>
      </w:r>
      <w:r w:rsidR="00667C37" w:rsidRPr="00CF22AE">
        <w:rPr>
          <w:rFonts w:ascii="Times New Roman" w:hAnsi="Times New Roman" w:cs="Times New Roman"/>
          <w:sz w:val="28"/>
          <w:szCs w:val="28"/>
        </w:rPr>
        <w:t>27</w:t>
      </w:r>
      <w:r w:rsidR="00430BEF" w:rsidRPr="00CF22AE">
        <w:rPr>
          <w:rFonts w:ascii="Times New Roman" w:hAnsi="Times New Roman" w:cs="Times New Roman"/>
          <w:sz w:val="28"/>
          <w:szCs w:val="28"/>
        </w:rPr>
        <w:t>].</w:t>
      </w:r>
      <w:r w:rsidR="00667C37" w:rsidRPr="00CF22AE">
        <w:rPr>
          <w:rFonts w:ascii="Times New Roman" w:hAnsi="Times New Roman" w:cs="Times New Roman"/>
          <w:sz w:val="28"/>
          <w:szCs w:val="28"/>
        </w:rPr>
        <w:t xml:space="preserve">  </w:t>
      </w:r>
    </w:p>
    <w:p w:rsidR="00764AA5" w:rsidRPr="00CF22AE" w:rsidRDefault="00764AA5" w:rsidP="00DB7D0E">
      <w:pPr>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Через свій багатий склад, який частково був описаний вище, пирій здавна використовувався в народній медицині багатьох країн</w:t>
      </w:r>
      <w:r w:rsidR="00667C37" w:rsidRPr="00CF22AE">
        <w:rPr>
          <w:rFonts w:ascii="Times New Roman" w:hAnsi="Times New Roman" w:cs="Times New Roman"/>
          <w:sz w:val="28"/>
          <w:szCs w:val="28"/>
        </w:rPr>
        <w:t xml:space="preserve"> [28</w:t>
      </w:r>
      <w:r w:rsidR="00E63DDB">
        <w:rPr>
          <w:rFonts w:ascii="Times New Roman" w:hAnsi="Times New Roman" w:cs="Times New Roman"/>
          <w:sz w:val="28"/>
          <w:szCs w:val="28"/>
        </w:rPr>
        <w:t>,29</w:t>
      </w:r>
      <w:r w:rsidR="00667C37" w:rsidRPr="00CF22AE">
        <w:rPr>
          <w:rFonts w:ascii="Times New Roman" w:hAnsi="Times New Roman" w:cs="Times New Roman"/>
          <w:sz w:val="28"/>
          <w:szCs w:val="28"/>
        </w:rPr>
        <w:t>].</w:t>
      </w:r>
      <w:r w:rsidRPr="00CF22AE">
        <w:rPr>
          <w:rFonts w:ascii="Times New Roman" w:hAnsi="Times New Roman" w:cs="Times New Roman"/>
          <w:sz w:val="28"/>
          <w:szCs w:val="28"/>
        </w:rPr>
        <w:t xml:space="preserve"> Найчастіше його використовують  в якості ліків при захворюваннях нирок та сечовивідних шляхів, але пирій також має відхаркувальну дію, проносну, обволікаючу, покращує обмін речовин та очищає кров. Також його застосовують при жовчокам’яній  хворобі, захворюваннях печінки і ще він покращує процеси регенерації слизових оболонок. Ще пирій широко застосовується при дитячих захворюваннях, які пов’язані з сечовидільною системою наприклад нетримання сечі, та при простат</w:t>
      </w:r>
      <w:r w:rsidR="00430BEF" w:rsidRPr="00CF22AE">
        <w:rPr>
          <w:rFonts w:ascii="Times New Roman" w:hAnsi="Times New Roman" w:cs="Times New Roman"/>
          <w:sz w:val="28"/>
          <w:szCs w:val="28"/>
        </w:rPr>
        <w:t>итах і ревматизмах у дорослих[</w:t>
      </w:r>
      <w:r w:rsidR="00252859" w:rsidRPr="00CF22AE">
        <w:rPr>
          <w:rFonts w:ascii="Times New Roman" w:hAnsi="Times New Roman" w:cs="Times New Roman"/>
          <w:sz w:val="28"/>
          <w:szCs w:val="28"/>
        </w:rPr>
        <w:t>29</w:t>
      </w:r>
      <w:r w:rsidR="00430BEF" w:rsidRPr="00CF22AE">
        <w:rPr>
          <w:rFonts w:ascii="Times New Roman" w:hAnsi="Times New Roman" w:cs="Times New Roman"/>
          <w:sz w:val="28"/>
          <w:szCs w:val="28"/>
        </w:rPr>
        <w:t>].</w:t>
      </w:r>
    </w:p>
    <w:p w:rsidR="00764AA5" w:rsidRPr="00CF22AE" w:rsidRDefault="00764AA5" w:rsidP="00DB7D0E">
      <w:pPr>
        <w:spacing w:line="360" w:lineRule="auto"/>
        <w:ind w:firstLine="709"/>
        <w:jc w:val="both"/>
        <w:rPr>
          <w:rFonts w:ascii="Times New Roman" w:hAnsi="Times New Roman" w:cs="Times New Roman"/>
          <w:color w:val="212121"/>
          <w:sz w:val="28"/>
          <w:szCs w:val="28"/>
          <w:shd w:val="clear" w:color="auto" w:fill="FFFFFF"/>
        </w:rPr>
      </w:pPr>
      <w:r w:rsidRPr="00CF22AE">
        <w:rPr>
          <w:rFonts w:ascii="Times New Roman" w:hAnsi="Times New Roman" w:cs="Times New Roman"/>
          <w:color w:val="212121"/>
          <w:sz w:val="28"/>
          <w:szCs w:val="28"/>
          <w:shd w:val="clear" w:color="auto" w:fill="FFFFFF"/>
        </w:rPr>
        <w:t xml:space="preserve">Пирій повзучий , як перспективна рослина в медицині активно досліджується, ми вже знаємо, що його застосовують в народній медицині, але і доказова медицина використовує для своїх препаратів </w:t>
      </w:r>
      <w:r w:rsidR="007C5D3F">
        <w:rPr>
          <w:rFonts w:ascii="Times New Roman" w:hAnsi="Times New Roman" w:cs="Times New Roman"/>
          <w:color w:val="212121"/>
          <w:sz w:val="28"/>
          <w:szCs w:val="28"/>
          <w:shd w:val="clear" w:color="auto" w:fill="FFFFFF"/>
        </w:rPr>
        <w:t>фітосубстанцію</w:t>
      </w:r>
      <w:r w:rsidRPr="00CF22AE">
        <w:rPr>
          <w:rFonts w:ascii="Times New Roman" w:hAnsi="Times New Roman" w:cs="Times New Roman"/>
          <w:color w:val="212121"/>
          <w:sz w:val="28"/>
          <w:szCs w:val="28"/>
          <w:shd w:val="clear" w:color="auto" w:fill="FFFFFF"/>
        </w:rPr>
        <w:t xml:space="preserve"> пирію </w:t>
      </w:r>
      <w:r w:rsidR="001A5C78">
        <w:rPr>
          <w:rFonts w:ascii="Times New Roman" w:hAnsi="Times New Roman" w:cs="Times New Roman"/>
          <w:color w:val="212121"/>
          <w:sz w:val="28"/>
          <w:szCs w:val="28"/>
          <w:shd w:val="clear" w:color="auto" w:fill="FFFFFF"/>
        </w:rPr>
        <w:t>для своїх лікарських препаратів (</w:t>
      </w:r>
      <w:r w:rsidR="007E3477">
        <w:rPr>
          <w:rFonts w:ascii="Times New Roman" w:hAnsi="Times New Roman" w:cs="Times New Roman"/>
          <w:color w:val="212121"/>
          <w:sz w:val="28"/>
          <w:szCs w:val="28"/>
          <w:shd w:val="clear" w:color="auto" w:fill="FFFFFF"/>
        </w:rPr>
        <w:t>ЛП)</w:t>
      </w:r>
      <w:r w:rsidR="00430BEF" w:rsidRPr="00CF22AE">
        <w:rPr>
          <w:rFonts w:ascii="Times New Roman" w:hAnsi="Times New Roman" w:cs="Times New Roman"/>
          <w:color w:val="212121"/>
          <w:sz w:val="28"/>
          <w:szCs w:val="28"/>
          <w:shd w:val="clear" w:color="auto" w:fill="FFFFFF"/>
        </w:rPr>
        <w:t xml:space="preserve"> [</w:t>
      </w:r>
      <w:r w:rsidR="00252859" w:rsidRPr="00CF22AE">
        <w:rPr>
          <w:rFonts w:ascii="Times New Roman" w:hAnsi="Times New Roman" w:cs="Times New Roman"/>
          <w:color w:val="212121"/>
          <w:sz w:val="28"/>
          <w:szCs w:val="28"/>
          <w:shd w:val="clear" w:color="auto" w:fill="FFFFFF"/>
        </w:rPr>
        <w:t>30</w:t>
      </w:r>
      <w:r w:rsidR="00E63DDB">
        <w:rPr>
          <w:rFonts w:ascii="Times New Roman" w:hAnsi="Times New Roman" w:cs="Times New Roman"/>
          <w:color w:val="212121"/>
          <w:sz w:val="28"/>
          <w:szCs w:val="28"/>
          <w:shd w:val="clear" w:color="auto" w:fill="FFFFFF"/>
        </w:rPr>
        <w:t>,31</w:t>
      </w:r>
      <w:r w:rsidR="00430BEF" w:rsidRPr="00CF22AE">
        <w:rPr>
          <w:rFonts w:ascii="Times New Roman" w:hAnsi="Times New Roman" w:cs="Times New Roman"/>
          <w:color w:val="212121"/>
          <w:sz w:val="28"/>
          <w:szCs w:val="28"/>
          <w:shd w:val="clear" w:color="auto" w:fill="FFFFFF"/>
        </w:rPr>
        <w:t>].</w:t>
      </w:r>
    </w:p>
    <w:p w:rsidR="00764AA5" w:rsidRPr="00CF22AE" w:rsidRDefault="00764AA5" w:rsidP="00DB7D0E">
      <w:pPr>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На Українському фармацевтичному ринку іс</w:t>
      </w:r>
      <w:r w:rsidR="00D77518">
        <w:rPr>
          <w:rFonts w:ascii="Times New Roman" w:hAnsi="Times New Roman" w:cs="Times New Roman"/>
          <w:sz w:val="28"/>
          <w:szCs w:val="28"/>
        </w:rPr>
        <w:t>нує комбінований фітопрепарат «</w:t>
      </w:r>
      <w:r w:rsidRPr="00CF22AE">
        <w:rPr>
          <w:rFonts w:ascii="Times New Roman" w:hAnsi="Times New Roman" w:cs="Times New Roman"/>
          <w:sz w:val="28"/>
          <w:szCs w:val="28"/>
        </w:rPr>
        <w:t xml:space="preserve">Фітолізин» , що містить в своєму складі </w:t>
      </w:r>
      <w:r w:rsidR="007C5D3F">
        <w:rPr>
          <w:rFonts w:ascii="Times New Roman" w:hAnsi="Times New Roman" w:cs="Times New Roman"/>
          <w:sz w:val="28"/>
          <w:szCs w:val="28"/>
        </w:rPr>
        <w:t>фітосубстанцію</w:t>
      </w:r>
      <w:r w:rsidRPr="00CF22AE">
        <w:rPr>
          <w:rFonts w:ascii="Times New Roman" w:hAnsi="Times New Roman" w:cs="Times New Roman"/>
          <w:sz w:val="28"/>
          <w:szCs w:val="28"/>
        </w:rPr>
        <w:t xml:space="preserve"> кореневища пирію повзучого ( </w:t>
      </w:r>
      <w:r w:rsidRPr="00CF22AE">
        <w:rPr>
          <w:rFonts w:ascii="Times New Roman" w:hAnsi="Times New Roman" w:cs="Times New Roman"/>
          <w:i/>
          <w:sz w:val="28"/>
          <w:szCs w:val="28"/>
        </w:rPr>
        <w:t xml:space="preserve">Agropiron repens L.) </w:t>
      </w:r>
      <w:r w:rsidRPr="00CF22AE">
        <w:rPr>
          <w:rFonts w:ascii="Times New Roman" w:hAnsi="Times New Roman" w:cs="Times New Roman"/>
          <w:sz w:val="28"/>
          <w:szCs w:val="28"/>
        </w:rPr>
        <w:t xml:space="preserve"> . Даний препарат представлений у вигляді пасти та капсул  для, що використовується для підтрим</w:t>
      </w:r>
      <w:r w:rsidR="00252859" w:rsidRPr="00CF22AE">
        <w:rPr>
          <w:rFonts w:ascii="Times New Roman" w:hAnsi="Times New Roman" w:cs="Times New Roman"/>
          <w:sz w:val="28"/>
          <w:szCs w:val="28"/>
        </w:rPr>
        <w:t xml:space="preserve">ки </w:t>
      </w:r>
      <w:r w:rsidRPr="00CF22AE">
        <w:rPr>
          <w:rFonts w:ascii="Times New Roman" w:hAnsi="Times New Roman" w:cs="Times New Roman"/>
          <w:sz w:val="28"/>
          <w:szCs w:val="28"/>
        </w:rPr>
        <w:t xml:space="preserve"> правильного функціонування нирок, нормального функціонування сечовивідних шляхів, сприяє виведенню з організму зайвої води та допомагає  усунути патогенні бактерії з сечовивідних шляхів, та загалом має прот</w:t>
      </w:r>
      <w:r w:rsidR="00E63DDB">
        <w:rPr>
          <w:rFonts w:ascii="Times New Roman" w:hAnsi="Times New Roman" w:cs="Times New Roman"/>
          <w:sz w:val="28"/>
          <w:szCs w:val="28"/>
        </w:rPr>
        <w:t xml:space="preserve">изапальні, </w:t>
      </w:r>
      <w:r w:rsidRPr="00CF22AE">
        <w:rPr>
          <w:rFonts w:ascii="Times New Roman" w:hAnsi="Times New Roman" w:cs="Times New Roman"/>
          <w:sz w:val="28"/>
          <w:szCs w:val="28"/>
        </w:rPr>
        <w:t>спазмоліти</w:t>
      </w:r>
      <w:r w:rsidR="001A5C78">
        <w:rPr>
          <w:rFonts w:ascii="Times New Roman" w:hAnsi="Times New Roman" w:cs="Times New Roman"/>
          <w:sz w:val="28"/>
          <w:szCs w:val="28"/>
        </w:rPr>
        <w:t>ч</w:t>
      </w:r>
      <w:r w:rsidRPr="00CF22AE">
        <w:rPr>
          <w:rFonts w:ascii="Times New Roman" w:hAnsi="Times New Roman" w:cs="Times New Roman"/>
          <w:sz w:val="28"/>
          <w:szCs w:val="28"/>
        </w:rPr>
        <w:t xml:space="preserve">ні, сечогінні </w:t>
      </w:r>
      <w:r w:rsidR="00430BEF" w:rsidRPr="00CF22AE">
        <w:rPr>
          <w:rFonts w:ascii="Times New Roman" w:hAnsi="Times New Roman" w:cs="Times New Roman"/>
          <w:sz w:val="28"/>
          <w:szCs w:val="28"/>
        </w:rPr>
        <w:t>та антибактеріальні властивості [</w:t>
      </w:r>
      <w:r w:rsidR="001A5C78">
        <w:rPr>
          <w:rFonts w:ascii="Times New Roman" w:hAnsi="Times New Roman" w:cs="Times New Roman"/>
          <w:sz w:val="28"/>
          <w:szCs w:val="28"/>
        </w:rPr>
        <w:t>31</w:t>
      </w:r>
      <w:r w:rsidR="00430BEF" w:rsidRPr="00CF22AE">
        <w:rPr>
          <w:rFonts w:ascii="Times New Roman" w:hAnsi="Times New Roman" w:cs="Times New Roman"/>
          <w:sz w:val="28"/>
          <w:szCs w:val="28"/>
        </w:rPr>
        <w:t>].</w:t>
      </w:r>
    </w:p>
    <w:p w:rsidR="00764AA5" w:rsidRPr="00CF22AE" w:rsidRDefault="00764AA5" w:rsidP="00DB7D0E">
      <w:pPr>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 xml:space="preserve">Лабораторні дослідження </w:t>
      </w:r>
      <w:r w:rsidRPr="00CF22AE">
        <w:rPr>
          <w:rFonts w:ascii="Times New Roman" w:hAnsi="Times New Roman" w:cs="Times New Roman"/>
          <w:i/>
          <w:sz w:val="28"/>
          <w:szCs w:val="28"/>
        </w:rPr>
        <w:t>in vitro</w:t>
      </w:r>
      <w:r w:rsidRPr="00CF22AE">
        <w:rPr>
          <w:rFonts w:ascii="Times New Roman" w:hAnsi="Times New Roman" w:cs="Times New Roman"/>
          <w:sz w:val="28"/>
          <w:szCs w:val="28"/>
        </w:rPr>
        <w:t xml:space="preserve">, які проводились з використанням </w:t>
      </w:r>
      <w:r w:rsidR="007E3477">
        <w:rPr>
          <w:rFonts w:ascii="Times New Roman" w:hAnsi="Times New Roman" w:cs="Times New Roman"/>
          <w:sz w:val="28"/>
          <w:szCs w:val="28"/>
        </w:rPr>
        <w:t>ФППТ</w:t>
      </w:r>
      <w:r w:rsidRPr="00CF22AE">
        <w:rPr>
          <w:rFonts w:ascii="Times New Roman" w:hAnsi="Times New Roman" w:cs="Times New Roman"/>
          <w:sz w:val="28"/>
          <w:szCs w:val="28"/>
        </w:rPr>
        <w:t xml:space="preserve"> демон</w:t>
      </w:r>
      <w:r w:rsidR="0091109F" w:rsidRPr="00CF22AE">
        <w:rPr>
          <w:rFonts w:ascii="Times New Roman" w:hAnsi="Times New Roman" w:cs="Times New Roman"/>
          <w:sz w:val="28"/>
          <w:szCs w:val="28"/>
        </w:rPr>
        <w:t>с</w:t>
      </w:r>
      <w:r w:rsidRPr="00CF22AE">
        <w:rPr>
          <w:rFonts w:ascii="Times New Roman" w:hAnsi="Times New Roman" w:cs="Times New Roman"/>
          <w:sz w:val="28"/>
          <w:szCs w:val="28"/>
        </w:rPr>
        <w:t>трували протираковий потенціал. Під час експериментів на тваринах пирій показав переваги  профілактиці раку та як доповнення до лікування раку. Клінічні випробовування демонструють, що пирій повзучий може викликати синергічні переваги хіміотерапії та зменшувати побічні ефекти, що пов’язані з хіміотерапією, а ще може принести користь при ревматоїдному артриті, виразковому коліті, гематологічних захворюваннях, ожирінні, діабеті, окислювальному стресі. Але дані переваги мають бути досліджені точніше і з більшою кількістю досліджень, для того щоб з впевненістю стверджувати, що ці препарати можн</w:t>
      </w:r>
      <w:r w:rsidR="00430BEF" w:rsidRPr="00CF22AE">
        <w:rPr>
          <w:rFonts w:ascii="Times New Roman" w:hAnsi="Times New Roman" w:cs="Times New Roman"/>
          <w:sz w:val="28"/>
          <w:szCs w:val="28"/>
        </w:rPr>
        <w:t>а буде застосовувати всім людям [</w:t>
      </w:r>
      <w:r w:rsidR="00136ECD">
        <w:rPr>
          <w:rFonts w:ascii="Times New Roman" w:hAnsi="Times New Roman" w:cs="Times New Roman"/>
          <w:sz w:val="28"/>
          <w:szCs w:val="28"/>
        </w:rPr>
        <w:t>32</w:t>
      </w:r>
      <w:r w:rsidR="00430BEF" w:rsidRPr="00CF22AE">
        <w:rPr>
          <w:rFonts w:ascii="Times New Roman" w:hAnsi="Times New Roman" w:cs="Times New Roman"/>
          <w:sz w:val="28"/>
          <w:szCs w:val="28"/>
        </w:rPr>
        <w:t>].</w:t>
      </w:r>
    </w:p>
    <w:p w:rsidR="00425A08" w:rsidRPr="00B07033" w:rsidRDefault="00764AA5" w:rsidP="00B07033">
      <w:pPr>
        <w:spacing w:line="360" w:lineRule="auto"/>
        <w:ind w:firstLine="709"/>
        <w:jc w:val="both"/>
      </w:pPr>
      <w:r w:rsidRPr="00CF22AE">
        <w:rPr>
          <w:rFonts w:ascii="Times New Roman" w:hAnsi="Times New Roman" w:cs="Times New Roman"/>
          <w:sz w:val="28"/>
          <w:szCs w:val="28"/>
        </w:rPr>
        <w:t xml:space="preserve">Проводились також дослідження на вплив пирію повзучого на здатність знижувати рівень глюкози в крові, і було зазначено, що </w:t>
      </w:r>
      <w:r w:rsidR="00136ECD">
        <w:rPr>
          <w:rFonts w:ascii="Times New Roman" w:hAnsi="Times New Roman" w:cs="Times New Roman"/>
          <w:sz w:val="28"/>
          <w:szCs w:val="28"/>
        </w:rPr>
        <w:t>в групи</w:t>
      </w:r>
      <w:r w:rsidRPr="00CF22AE">
        <w:rPr>
          <w:rFonts w:ascii="Times New Roman" w:hAnsi="Times New Roman" w:cs="Times New Roman"/>
          <w:sz w:val="28"/>
          <w:szCs w:val="28"/>
        </w:rPr>
        <w:t xml:space="preserve"> щурів де використовувався пирій повзучий</w:t>
      </w:r>
      <w:r w:rsidR="00AD43D9" w:rsidRPr="00CF22AE">
        <w:rPr>
          <w:rFonts w:ascii="Times New Roman" w:hAnsi="Times New Roman" w:cs="Times New Roman"/>
          <w:sz w:val="28"/>
          <w:szCs w:val="28"/>
        </w:rPr>
        <w:t xml:space="preserve"> </w:t>
      </w:r>
      <w:r w:rsidR="00430BEF" w:rsidRPr="00CF22AE">
        <w:rPr>
          <w:rFonts w:ascii="Times New Roman" w:hAnsi="Times New Roman" w:cs="Times New Roman"/>
          <w:sz w:val="28"/>
          <w:szCs w:val="28"/>
        </w:rPr>
        <w:t>значно зменшився рівень глюкози [</w:t>
      </w:r>
      <w:r w:rsidR="00136ECD">
        <w:rPr>
          <w:rFonts w:ascii="Times New Roman" w:hAnsi="Times New Roman" w:cs="Times New Roman"/>
          <w:sz w:val="28"/>
          <w:szCs w:val="28"/>
        </w:rPr>
        <w:t>33</w:t>
      </w:r>
      <w:r w:rsidR="00430BEF" w:rsidRPr="00CF22AE">
        <w:rPr>
          <w:rFonts w:ascii="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D77518" w:rsidRDefault="00D77518">
      <w:pPr>
        <w:rPr>
          <w:rFonts w:ascii="Times New Roman" w:eastAsia="Times New Roman" w:hAnsi="Times New Roman" w:cs="Times New Roman"/>
          <w:sz w:val="28"/>
          <w:szCs w:val="28"/>
        </w:rPr>
      </w:pPr>
    </w:p>
    <w:p w:rsidR="00D77518" w:rsidRDefault="00D77518">
      <w:pPr>
        <w:rPr>
          <w:rFonts w:ascii="Times New Roman" w:eastAsia="Times New Roman" w:hAnsi="Times New Roman" w:cs="Times New Roman"/>
          <w:b/>
          <w:sz w:val="28"/>
          <w:szCs w:val="28"/>
          <w:lang w:eastAsia="ru-RU"/>
        </w:rPr>
      </w:pPr>
    </w:p>
    <w:p w:rsidR="00282217" w:rsidRDefault="00282217">
      <w:pP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br w:type="page"/>
      </w:r>
    </w:p>
    <w:p w:rsidR="00425A08" w:rsidRPr="00CF22AE" w:rsidRDefault="00425A08" w:rsidP="00D77518">
      <w:pPr>
        <w:spacing w:after="0" w:line="360" w:lineRule="auto"/>
        <w:ind w:firstLine="709"/>
        <w:jc w:val="center"/>
        <w:rPr>
          <w:rFonts w:ascii="Times New Roman" w:eastAsia="Times New Roman" w:hAnsi="Times New Roman" w:cs="Times New Roman"/>
          <w:b/>
          <w:sz w:val="28"/>
          <w:szCs w:val="28"/>
          <w:lang w:eastAsia="ru-RU"/>
        </w:rPr>
      </w:pPr>
      <w:r w:rsidRPr="00CF22AE">
        <w:rPr>
          <w:rFonts w:ascii="Times New Roman" w:eastAsia="Times New Roman" w:hAnsi="Times New Roman" w:cs="Times New Roman"/>
          <w:b/>
          <w:sz w:val="28"/>
          <w:szCs w:val="28"/>
          <w:lang w:eastAsia="ru-RU"/>
        </w:rPr>
        <w:t>РОЗДІ</w:t>
      </w:r>
      <w:r w:rsidR="00305862" w:rsidRPr="00CF22AE">
        <w:rPr>
          <w:rFonts w:ascii="Times New Roman" w:eastAsia="Times New Roman" w:hAnsi="Times New Roman" w:cs="Times New Roman"/>
          <w:b/>
          <w:sz w:val="28"/>
          <w:szCs w:val="28"/>
          <w:lang w:eastAsia="ru-RU"/>
        </w:rPr>
        <w:t>Л</w:t>
      </w:r>
      <w:r w:rsidRPr="00CF22AE">
        <w:rPr>
          <w:rFonts w:ascii="Times New Roman" w:eastAsia="Times New Roman" w:hAnsi="Times New Roman" w:cs="Times New Roman"/>
          <w:b/>
          <w:sz w:val="28"/>
          <w:szCs w:val="28"/>
          <w:lang w:eastAsia="ru-RU"/>
        </w:rPr>
        <w:t xml:space="preserve"> 2</w:t>
      </w:r>
    </w:p>
    <w:p w:rsidR="00425A08" w:rsidRPr="00CF22AE" w:rsidRDefault="00425A08" w:rsidP="00D77518">
      <w:pPr>
        <w:spacing w:after="0" w:line="360" w:lineRule="auto"/>
        <w:ind w:firstLine="709"/>
        <w:jc w:val="center"/>
        <w:rPr>
          <w:rFonts w:ascii="Times New Roman" w:eastAsia="Times New Roman" w:hAnsi="Times New Roman" w:cs="Times New Roman"/>
          <w:b/>
          <w:sz w:val="28"/>
          <w:szCs w:val="28"/>
          <w:lang w:eastAsia="ru-RU"/>
        </w:rPr>
      </w:pPr>
      <w:r w:rsidRPr="00CF22AE">
        <w:rPr>
          <w:rFonts w:ascii="Times New Roman" w:eastAsia="Times New Roman" w:hAnsi="Times New Roman" w:cs="Times New Roman"/>
          <w:b/>
          <w:sz w:val="28"/>
          <w:szCs w:val="28"/>
          <w:lang w:eastAsia="ru-RU"/>
        </w:rPr>
        <w:t>ОБ’ЄКТИ ТА МЕТОДИ ДОСЛІДЖЕННЯ</w:t>
      </w:r>
    </w:p>
    <w:p w:rsidR="00425A08" w:rsidRPr="00CF22AE" w:rsidRDefault="00425A08" w:rsidP="00DB7D0E">
      <w:pPr>
        <w:spacing w:after="0" w:line="360" w:lineRule="auto"/>
        <w:ind w:firstLine="709"/>
        <w:jc w:val="both"/>
        <w:rPr>
          <w:rFonts w:ascii="Times New Roman" w:eastAsia="Times New Roman" w:hAnsi="Times New Roman" w:cs="Times New Roman"/>
          <w:sz w:val="28"/>
          <w:szCs w:val="28"/>
          <w:lang w:eastAsia="ru-RU"/>
        </w:rPr>
      </w:pPr>
    </w:p>
    <w:p w:rsidR="00425A08" w:rsidRPr="007B03C3" w:rsidRDefault="00425A08" w:rsidP="00DB7D0E">
      <w:pPr>
        <w:spacing w:after="0" w:line="360" w:lineRule="auto"/>
        <w:ind w:firstLine="709"/>
        <w:jc w:val="both"/>
        <w:rPr>
          <w:rFonts w:ascii="Times New Roman" w:eastAsia="Times New Roman" w:hAnsi="Times New Roman" w:cs="Times New Roman"/>
          <w:sz w:val="28"/>
          <w:szCs w:val="28"/>
          <w:lang w:eastAsia="ru-RU"/>
        </w:rPr>
      </w:pPr>
      <w:r w:rsidRPr="00CF22AE">
        <w:rPr>
          <w:rFonts w:ascii="Times New Roman" w:eastAsia="Times New Roman" w:hAnsi="Times New Roman" w:cs="Times New Roman"/>
          <w:sz w:val="28"/>
          <w:szCs w:val="28"/>
          <w:lang w:eastAsia="ru-RU"/>
        </w:rPr>
        <w:t xml:space="preserve">В розділі описано </w:t>
      </w:r>
      <w:r w:rsidR="00E3509E">
        <w:rPr>
          <w:rFonts w:ascii="Times New Roman" w:eastAsia="Times New Roman" w:hAnsi="Times New Roman" w:cs="Times New Roman"/>
          <w:sz w:val="28"/>
          <w:szCs w:val="28"/>
          <w:lang w:eastAsia="ru-RU"/>
        </w:rPr>
        <w:t>обʼєкти та методи</w:t>
      </w:r>
      <w:r w:rsidRPr="00CF22AE">
        <w:rPr>
          <w:rFonts w:ascii="Times New Roman" w:eastAsia="Times New Roman" w:hAnsi="Times New Roman" w:cs="Times New Roman"/>
          <w:sz w:val="28"/>
          <w:szCs w:val="28"/>
          <w:lang w:eastAsia="ru-RU"/>
        </w:rPr>
        <w:t xml:space="preserve"> дослідження, які використані під час розробки гранул на основі фіто субстанції пирію повзучого трави</w:t>
      </w:r>
      <w:r w:rsidR="007B03C3">
        <w:rPr>
          <w:rFonts w:ascii="Times New Roman" w:eastAsia="Times New Roman" w:hAnsi="Times New Roman" w:cs="Times New Roman"/>
          <w:sz w:val="28"/>
          <w:szCs w:val="28"/>
          <w:lang w:eastAsia="ru-RU"/>
        </w:rPr>
        <w:t>.</w:t>
      </w:r>
    </w:p>
    <w:p w:rsidR="00425A08" w:rsidRPr="00CF22AE" w:rsidRDefault="00425A08" w:rsidP="00DB7D0E">
      <w:pPr>
        <w:spacing w:line="360" w:lineRule="auto"/>
        <w:ind w:firstLine="709"/>
        <w:jc w:val="both"/>
        <w:rPr>
          <w:rFonts w:ascii="Times New Roman" w:eastAsia="Times New Roman" w:hAnsi="Times New Roman" w:cs="Times New Roman"/>
          <w:sz w:val="28"/>
          <w:szCs w:val="28"/>
          <w:lang w:eastAsia="ru-RU"/>
        </w:rPr>
      </w:pPr>
      <w:r w:rsidRPr="00CF22AE">
        <w:rPr>
          <w:rFonts w:ascii="Times New Roman" w:eastAsia="Times New Roman" w:hAnsi="Times New Roman" w:cs="Times New Roman"/>
          <w:sz w:val="28"/>
          <w:szCs w:val="28"/>
          <w:lang w:eastAsia="uk-UA"/>
        </w:rPr>
        <w:t>2.</w:t>
      </w:r>
      <w:r w:rsidR="007B03C3">
        <w:rPr>
          <w:rFonts w:ascii="Times New Roman" w:eastAsia="Times New Roman" w:hAnsi="Times New Roman" w:cs="Times New Roman"/>
          <w:sz w:val="28"/>
          <w:szCs w:val="28"/>
          <w:lang w:eastAsia="uk-UA"/>
        </w:rPr>
        <w:t>1</w:t>
      </w:r>
      <w:r w:rsidRPr="00CF22AE">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sz w:val="28"/>
          <w:szCs w:val="28"/>
          <w:lang w:eastAsia="ru-RU"/>
        </w:rPr>
        <w:t>Характеристика лікарських та допоміжних речовин як об’єктів дослідження</w:t>
      </w:r>
    </w:p>
    <w:p w:rsidR="00425A08" w:rsidRPr="00CF22AE" w:rsidRDefault="00425A08" w:rsidP="00DB7D0E">
      <w:pPr>
        <w:spacing w:after="0" w:line="360" w:lineRule="auto"/>
        <w:ind w:firstLine="709"/>
        <w:contextualSpacing/>
        <w:jc w:val="both"/>
        <w:rPr>
          <w:rFonts w:ascii="Times New Roman" w:hAnsi="Times New Roman" w:cs="Times New Roman"/>
          <w:sz w:val="28"/>
          <w:szCs w:val="28"/>
        </w:rPr>
      </w:pPr>
      <w:r w:rsidRPr="00CF22AE">
        <w:rPr>
          <w:rFonts w:ascii="Times New Roman" w:eastAsia="Times New Roman" w:hAnsi="Times New Roman" w:cs="Times New Roman"/>
          <w:sz w:val="28"/>
          <w:szCs w:val="28"/>
          <w:lang w:eastAsia="ru-RU"/>
        </w:rPr>
        <w:t>Об’єктами дослідження були: фітосубстанція на основі пирію повзучого трави та ДР.</w:t>
      </w:r>
      <w:r w:rsidRPr="00CF22AE">
        <w:rPr>
          <w:rFonts w:ascii="Times New Roman" w:hAnsi="Times New Roman" w:cs="Times New Roman"/>
          <w:sz w:val="28"/>
          <w:szCs w:val="28"/>
        </w:rPr>
        <w:t xml:space="preserve"> </w:t>
      </w:r>
    </w:p>
    <w:p w:rsidR="00425A08" w:rsidRPr="00CF22AE" w:rsidRDefault="00425A08" w:rsidP="00DB7D0E">
      <w:pPr>
        <w:spacing w:after="0" w:line="360" w:lineRule="auto"/>
        <w:ind w:firstLine="709"/>
        <w:contextualSpacing/>
        <w:jc w:val="both"/>
        <w:rPr>
          <w:rFonts w:ascii="Times New Roman" w:hAnsi="Times New Roman" w:cs="Times New Roman"/>
          <w:sz w:val="28"/>
          <w:szCs w:val="28"/>
        </w:rPr>
      </w:pPr>
      <w:r w:rsidRPr="00CF22AE">
        <w:rPr>
          <w:rFonts w:ascii="Times New Roman" w:hAnsi="Times New Roman" w:cs="Times New Roman"/>
          <w:i/>
          <w:sz w:val="28"/>
          <w:szCs w:val="28"/>
        </w:rPr>
        <w:t>Фітосубстанція на основі пирію повзучого трави</w:t>
      </w:r>
      <w:r w:rsidRPr="00CF22AE">
        <w:rPr>
          <w:rFonts w:ascii="Times New Roman" w:hAnsi="Times New Roman" w:cs="Times New Roman"/>
          <w:sz w:val="28"/>
          <w:szCs w:val="28"/>
        </w:rPr>
        <w:t xml:space="preserve"> – густа субстанція насиченого коричневого кольору, </w:t>
      </w:r>
      <w:r w:rsidRPr="00CF22AE">
        <w:rPr>
          <w:rFonts w:ascii="Times New Roman" w:eastAsia="Calibri" w:hAnsi="Times New Roman" w:cs="Times New Roman"/>
          <w:sz w:val="28"/>
          <w:szCs w:val="28"/>
          <w:lang w:eastAsia="ko-KR"/>
        </w:rPr>
        <w:t>солодка на смак та має приємний специфічний запах з вмістом вологи не менше 30 %.</w:t>
      </w:r>
    </w:p>
    <w:p w:rsidR="00425A08" w:rsidRPr="00CF22AE" w:rsidRDefault="00425A08" w:rsidP="00DB7D0E">
      <w:pPr>
        <w:spacing w:after="0" w:line="360" w:lineRule="auto"/>
        <w:ind w:firstLine="709"/>
        <w:contextualSpacing/>
        <w:jc w:val="both"/>
        <w:rPr>
          <w:rFonts w:ascii="Times New Roman" w:hAnsi="Times New Roman" w:cs="Times New Roman"/>
          <w:i/>
          <w:sz w:val="28"/>
          <w:szCs w:val="28"/>
        </w:rPr>
      </w:pPr>
      <w:r w:rsidRPr="00CF22AE">
        <w:rPr>
          <w:rFonts w:ascii="Times New Roman" w:hAnsi="Times New Roman" w:cs="Times New Roman"/>
          <w:i/>
          <w:sz w:val="28"/>
          <w:szCs w:val="28"/>
        </w:rPr>
        <w:t>Допоміжні речовини</w:t>
      </w:r>
    </w:p>
    <w:p w:rsidR="00425A08" w:rsidRPr="00AD4CC7" w:rsidRDefault="00425A08" w:rsidP="00DB7D0E">
      <w:pPr>
        <w:spacing w:after="0" w:line="360" w:lineRule="auto"/>
        <w:ind w:firstLine="709"/>
        <w:contextualSpacing/>
        <w:jc w:val="both"/>
        <w:rPr>
          <w:rFonts w:ascii="Times New Roman" w:hAnsi="Times New Roman" w:cs="Times New Roman"/>
          <w:sz w:val="28"/>
          <w:szCs w:val="28"/>
          <w:lang w:eastAsia="ko-KR"/>
        </w:rPr>
      </w:pPr>
      <w:r w:rsidRPr="00CF22AE">
        <w:rPr>
          <w:rFonts w:ascii="Times New Roman" w:hAnsi="Times New Roman" w:cs="Times New Roman"/>
          <w:sz w:val="28"/>
          <w:szCs w:val="28"/>
        </w:rPr>
        <w:t>Всі ДР використанні в нашій роботі дозволені до медичного застосування та широко використовуються в фармацевтичній промисловості у виробництві твердої ЛФ, а саме гранул</w:t>
      </w:r>
      <w:r w:rsidR="00AD4CC7">
        <w:rPr>
          <w:rFonts w:ascii="Times New Roman" w:hAnsi="Times New Roman" w:cs="Times New Roman" w:hint="eastAsia"/>
          <w:sz w:val="28"/>
          <w:szCs w:val="28"/>
          <w:lang w:eastAsia="ko-KR"/>
        </w:rPr>
        <w:t>.</w:t>
      </w:r>
    </w:p>
    <w:p w:rsidR="00425A08" w:rsidRPr="00CF22AE" w:rsidRDefault="00425A08" w:rsidP="00DB7D0E">
      <w:pPr>
        <w:spacing w:after="0" w:line="360" w:lineRule="auto"/>
        <w:ind w:firstLine="709"/>
        <w:contextualSpacing/>
        <w:jc w:val="both"/>
        <w:rPr>
          <w:rFonts w:ascii="Times New Roman" w:hAnsi="Times New Roman" w:cs="Times New Roman"/>
          <w:sz w:val="28"/>
          <w:szCs w:val="28"/>
        </w:rPr>
      </w:pPr>
      <w:r w:rsidRPr="00CF22AE">
        <w:rPr>
          <w:rFonts w:ascii="Times New Roman" w:hAnsi="Times New Roman" w:cs="Times New Roman"/>
          <w:i/>
          <w:sz w:val="28"/>
          <w:szCs w:val="28"/>
        </w:rPr>
        <w:t xml:space="preserve">МКЦ 101 </w:t>
      </w:r>
      <w:r w:rsidR="00D77518">
        <w:rPr>
          <w:rFonts w:ascii="Times New Roman" w:eastAsia="Times New Roman" w:hAnsi="Times New Roman" w:cs="Times New Roman"/>
          <w:sz w:val="28"/>
          <w:szCs w:val="28"/>
          <w:lang w:eastAsia="uk-UA"/>
        </w:rPr>
        <w:t xml:space="preserve">– </w:t>
      </w:r>
      <w:r w:rsidRPr="00CF22AE">
        <w:rPr>
          <w:rFonts w:ascii="Times New Roman" w:hAnsi="Times New Roman" w:cs="Times New Roman"/>
          <w:sz w:val="28"/>
          <w:szCs w:val="28"/>
        </w:rPr>
        <w:t>білий кристалічний порошок без кольору і запаху. Як допоміжна речовина у фармацевтичному виробництві використовується як розпушувач, сполучна, наповнювач, ковзне речовина, адсорбент. У біологічно активних добавках застосовується в якості активної речовини як засіб для схуднення.</w:t>
      </w:r>
    </w:p>
    <w:p w:rsidR="00425A08" w:rsidRPr="00CF22AE" w:rsidRDefault="00D77518" w:rsidP="00DB7D0E">
      <w:pPr>
        <w:spacing w:line="360" w:lineRule="auto"/>
        <w:ind w:firstLine="709"/>
        <w:jc w:val="both"/>
        <w:rPr>
          <w:rFonts w:ascii="Times New Roman" w:hAnsi="Times New Roman" w:cs="Times New Roman"/>
          <w:sz w:val="28"/>
          <w:szCs w:val="28"/>
        </w:rPr>
      </w:pPr>
      <w:r>
        <w:rPr>
          <w:rFonts w:ascii="Times New Roman" w:hAnsi="Times New Roman" w:cs="Times New Roman"/>
          <w:i/>
          <w:sz w:val="28"/>
          <w:szCs w:val="28"/>
        </w:rPr>
        <w:t xml:space="preserve">МКЦ 200 </w:t>
      </w:r>
      <w:r>
        <w:rPr>
          <w:rFonts w:ascii="Times New Roman" w:eastAsia="Times New Roman" w:hAnsi="Times New Roman" w:cs="Times New Roman"/>
          <w:sz w:val="28"/>
          <w:szCs w:val="28"/>
          <w:lang w:eastAsia="uk-UA"/>
        </w:rPr>
        <w:t>–</w:t>
      </w:r>
      <w:r w:rsidR="00425A08" w:rsidRPr="00CF22AE">
        <w:rPr>
          <w:rFonts w:ascii="Times New Roman" w:hAnsi="Times New Roman" w:cs="Times New Roman"/>
          <w:i/>
          <w:sz w:val="28"/>
          <w:szCs w:val="28"/>
        </w:rPr>
        <w:t xml:space="preserve"> </w:t>
      </w:r>
      <w:r w:rsidR="00425A08" w:rsidRPr="00CF22AE">
        <w:rPr>
          <w:rFonts w:ascii="Times New Roman" w:hAnsi="Times New Roman" w:cs="Times New Roman"/>
          <w:sz w:val="28"/>
          <w:szCs w:val="28"/>
        </w:rPr>
        <w:t>кристалічний порошок</w:t>
      </w:r>
      <w:r w:rsidR="00425A08" w:rsidRPr="00CF22AE">
        <w:rPr>
          <w:rFonts w:ascii="Times New Roman" w:hAnsi="Times New Roman" w:cs="Times New Roman"/>
          <w:i/>
          <w:sz w:val="28"/>
          <w:szCs w:val="28"/>
        </w:rPr>
        <w:t xml:space="preserve"> </w:t>
      </w:r>
      <w:r w:rsidR="00425A08" w:rsidRPr="00CF22AE">
        <w:rPr>
          <w:rFonts w:ascii="Times New Roman" w:hAnsi="Times New Roman" w:cs="Times New Roman"/>
          <w:sz w:val="28"/>
          <w:szCs w:val="28"/>
        </w:rPr>
        <w:t>білого кольору, без смаку і запаху, що складається з пористих частинок і має адгезивні та адсорбційні властивості, що дає змогу використовувати його як наповнювач, стабілізатор та емульгатор у харчовій, косметичній і фармацевтичній промисловості.</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 xml:space="preserve">Лактоза </w:t>
      </w:r>
      <w:r w:rsidR="00D77518">
        <w:rPr>
          <w:rFonts w:ascii="Times New Roman" w:eastAsia="Calibri" w:hAnsi="Times New Roman" w:cs="Times New Roman"/>
          <w:sz w:val="28"/>
          <w:szCs w:val="28"/>
        </w:rPr>
        <w:t xml:space="preserve">– </w:t>
      </w:r>
      <w:r w:rsidRPr="00CF22AE">
        <w:rPr>
          <w:rFonts w:ascii="Times New Roman" w:eastAsia="Calibri" w:hAnsi="Times New Roman" w:cs="Times New Roman"/>
          <w:sz w:val="28"/>
          <w:szCs w:val="28"/>
        </w:rPr>
        <w:t>біла кристалічна речовина, без запаху, з нейтральним смаком, яка добре розчиняється в воді. Лактозу широко використовують у фармацевтичній та харчовій промисловості. Вона входить до складу багатьох фармацевтичних препаратів, де використовується як наповнювач, стабілізатор.</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Крохмаль картопляний</w:t>
      </w:r>
      <w:r w:rsidRPr="00CF22AE">
        <w:rPr>
          <w:rFonts w:ascii="Times New Roman" w:eastAsia="Calibri" w:hAnsi="Times New Roman" w:cs="Times New Roman"/>
          <w:sz w:val="28"/>
          <w:szCs w:val="28"/>
        </w:rPr>
        <w:t xml:space="preserve"> </w:t>
      </w:r>
      <w:r w:rsidR="00D77518">
        <w:rPr>
          <w:rFonts w:ascii="Times New Roman" w:eastAsia="Times New Roman" w:hAnsi="Times New Roman" w:cs="Times New Roman"/>
          <w:sz w:val="28"/>
          <w:szCs w:val="28"/>
          <w:lang w:eastAsia="uk-UA"/>
        </w:rPr>
        <w:t xml:space="preserve">– </w:t>
      </w:r>
      <w:r w:rsidRPr="00CF22AE">
        <w:rPr>
          <w:rFonts w:ascii="Times New Roman" w:eastAsia="Calibri" w:hAnsi="Times New Roman" w:cs="Times New Roman"/>
          <w:sz w:val="28"/>
          <w:szCs w:val="28"/>
        </w:rPr>
        <w:t xml:space="preserve">це біла порошкоподібна речовина без запаху та смаку, </w:t>
      </w:r>
      <w:r w:rsidR="00136ECD">
        <w:rPr>
          <w:rFonts w:ascii="Times New Roman" w:eastAsia="Calibri" w:hAnsi="Times New Roman" w:cs="Times New Roman"/>
          <w:sz w:val="28"/>
          <w:szCs w:val="28"/>
        </w:rPr>
        <w:t>яка виготовляється з картопляни</w:t>
      </w:r>
      <w:r w:rsidRPr="00CF22AE">
        <w:rPr>
          <w:rFonts w:ascii="Times New Roman" w:eastAsia="Calibri" w:hAnsi="Times New Roman" w:cs="Times New Roman"/>
          <w:sz w:val="28"/>
          <w:szCs w:val="28"/>
        </w:rPr>
        <w:t>х бульб. Має дуже дрібну зернистість та високу поглинаючу здатність, тому легко розчиняється у воді, утворюючи прозору густу рідину. У фармацевтичній промисловості крохмаль картопляний використовується як добавка до таблеток та капсул для покращення їх структури та стабільності. Він також використовує</w:t>
      </w:r>
      <w:r w:rsidR="00136ECD">
        <w:rPr>
          <w:rFonts w:ascii="Times New Roman" w:eastAsia="Calibri" w:hAnsi="Times New Roman" w:cs="Times New Roman"/>
          <w:sz w:val="28"/>
          <w:szCs w:val="28"/>
        </w:rPr>
        <w:t>ться у косметичних засобах як з</w:t>
      </w:r>
      <w:r w:rsidRPr="00CF22AE">
        <w:rPr>
          <w:rFonts w:ascii="Times New Roman" w:eastAsia="Calibri" w:hAnsi="Times New Roman" w:cs="Times New Roman"/>
          <w:sz w:val="28"/>
          <w:szCs w:val="28"/>
        </w:rPr>
        <w:t>гущувач та стабілізатор.</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Натрій карбоксиметил крохмаль</w:t>
      </w:r>
      <w:r w:rsidRPr="00CF22AE">
        <w:rPr>
          <w:rFonts w:ascii="Times New Roman" w:eastAsia="Calibri" w:hAnsi="Times New Roman" w:cs="Times New Roman"/>
          <w:sz w:val="28"/>
          <w:szCs w:val="28"/>
        </w:rPr>
        <w:t xml:space="preserve"> </w:t>
      </w:r>
      <w:r w:rsidR="00D77518">
        <w:rPr>
          <w:rFonts w:ascii="Times New Roman" w:eastAsia="Times New Roman" w:hAnsi="Times New Roman" w:cs="Times New Roman"/>
          <w:sz w:val="28"/>
          <w:szCs w:val="28"/>
          <w:lang w:eastAsia="uk-UA"/>
        </w:rPr>
        <w:t>–</w:t>
      </w:r>
      <w:r w:rsidRPr="00CF22AE">
        <w:rPr>
          <w:rFonts w:ascii="Times New Roman" w:eastAsia="Calibri" w:hAnsi="Times New Roman" w:cs="Times New Roman"/>
          <w:sz w:val="28"/>
          <w:szCs w:val="28"/>
        </w:rPr>
        <w:t xml:space="preserve"> це біла або блідо-жовтувата порошкоподібна речовина, яка має без запаху та смаку. Вона складається з крохмалю та натрію, і має високу розчинність в воді. НКМК відносно легко розчиняється в розчинах аміаку та кріометричних розчинах, але практично нерозчинна в органічних розчинниках. У фармацевтичній промисловості НКМК використовується як допоміжна речовина для виготовлення таблеток та капсул. Вона допомагає забезпечити розпад таблеток та рівномірне розподілення активної речовини.</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Натрій крохмаль гліколят</w:t>
      </w:r>
      <w:r w:rsidRPr="00CF22AE">
        <w:rPr>
          <w:rFonts w:ascii="Times New Roman" w:eastAsia="Calibri" w:hAnsi="Times New Roman" w:cs="Times New Roman"/>
          <w:sz w:val="28"/>
          <w:szCs w:val="28"/>
        </w:rPr>
        <w:t xml:space="preserve"> білий без запаху та смаку вільно плинний порошок. USPNF 23 описує Н.к. як натрієву сіль крохмалю та карбоксиметильованого етеру з 2,8–4,2</w:t>
      </w:r>
      <w:r w:rsidR="001B4373">
        <w:rPr>
          <w:rFonts w:ascii="Times New Roman" w:eastAsia="Calibri" w:hAnsi="Times New Roman" w:cs="Times New Roman"/>
          <w:sz w:val="28"/>
          <w:szCs w:val="28"/>
        </w:rPr>
        <w:t xml:space="preserve"> </w:t>
      </w:r>
      <w:r w:rsidRPr="00CF22AE">
        <w:rPr>
          <w:rFonts w:ascii="Times New Roman" w:eastAsia="Calibri" w:hAnsi="Times New Roman" w:cs="Times New Roman"/>
          <w:sz w:val="28"/>
          <w:szCs w:val="28"/>
        </w:rPr>
        <w:t>% натрію. Крохмальний гліколят натрію широко використовується як розчинений на фармацевтичному носії наповнювач для таблеток і капсул.</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Крохмаль</w:t>
      </w:r>
      <w:r w:rsidR="00111D24" w:rsidRPr="00CF22AE">
        <w:rPr>
          <w:rFonts w:ascii="Times New Roman" w:eastAsia="Calibri" w:hAnsi="Times New Roman" w:cs="Times New Roman"/>
          <w:i/>
          <w:sz w:val="28"/>
          <w:szCs w:val="28"/>
        </w:rPr>
        <w:t xml:space="preserve"> пре</w:t>
      </w:r>
      <w:r w:rsidRPr="00CF22AE">
        <w:rPr>
          <w:rFonts w:ascii="Times New Roman" w:eastAsia="Calibri" w:hAnsi="Times New Roman" w:cs="Times New Roman"/>
          <w:i/>
          <w:sz w:val="28"/>
          <w:szCs w:val="28"/>
        </w:rPr>
        <w:t>желатинізований</w:t>
      </w:r>
      <w:r w:rsidRPr="00CF22AE">
        <w:rPr>
          <w:rFonts w:ascii="Times New Roman" w:eastAsia="Calibri" w:hAnsi="Times New Roman" w:cs="Times New Roman"/>
          <w:sz w:val="28"/>
          <w:szCs w:val="28"/>
        </w:rPr>
        <w:t xml:space="preserve"> продукт, отриманий хімічним та/або механічним методом з розривом усіх або частково гранул крохмалю, що надає йому добру сипучість та прес</w:t>
      </w:r>
      <w:r w:rsidR="00111D24" w:rsidRPr="00CF22AE">
        <w:rPr>
          <w:rFonts w:ascii="Times New Roman" w:eastAsia="Calibri" w:hAnsi="Times New Roman" w:cs="Times New Roman"/>
          <w:sz w:val="28"/>
          <w:szCs w:val="28"/>
        </w:rPr>
        <w:t>ованість. Зазвичай крохмаль пре</w:t>
      </w:r>
      <w:r w:rsidRPr="00CF22AE">
        <w:rPr>
          <w:rFonts w:ascii="Times New Roman" w:eastAsia="Calibri" w:hAnsi="Times New Roman" w:cs="Times New Roman"/>
          <w:sz w:val="28"/>
          <w:szCs w:val="28"/>
        </w:rPr>
        <w:t>желатинізований складається з 5 % вільної амілази, 15 % вільного амілопектину та 80 % немодифікованого крохмалю. Використовується у виробництві капсул і таблеток, як зв’язувальна речовина, наповнювач та розпушувач. У порівнянні із звичайним крохмалем  - має добру сипучість та пресованість, може використовуватися як зв’язувальна речовина при прямому пресуванні таблеток.</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Аеросил 380</w:t>
      </w:r>
      <w:r w:rsidRPr="00CF22AE">
        <w:rPr>
          <w:rFonts w:ascii="Times New Roman" w:eastAsia="Calibri" w:hAnsi="Times New Roman" w:cs="Times New Roman"/>
          <w:sz w:val="28"/>
          <w:szCs w:val="28"/>
        </w:rPr>
        <w:t xml:space="preserve"> (кремнію діоксид безводний) аморфний порошок належить до групи синтетичних активних високодисперсних мінеральних наповнювачів. У фармації використовується як допоміжна речовина, стабілізатор, гелеутворювач, адсорбент, поліпшує текучість мас для  таблетування, мазевих, гелевих та інших сумішей.</w:t>
      </w:r>
    </w:p>
    <w:p w:rsidR="00425A08" w:rsidRPr="00CF22AE" w:rsidRDefault="004D45D6" w:rsidP="00DB7D0E">
      <w:pPr>
        <w:spacing w:after="0" w:line="360" w:lineRule="auto"/>
        <w:ind w:firstLine="709"/>
        <w:contextualSpacing/>
        <w:jc w:val="both"/>
        <w:rPr>
          <w:rFonts w:ascii="Times New Roman" w:eastAsia="Calibri" w:hAnsi="Times New Roman" w:cs="Times New Roman"/>
          <w:sz w:val="28"/>
          <w:szCs w:val="28"/>
        </w:rPr>
      </w:pPr>
      <w:r>
        <w:rPr>
          <w:rFonts w:ascii="Times New Roman" w:eastAsia="Calibri" w:hAnsi="Times New Roman" w:cs="Times New Roman"/>
          <w:i/>
          <w:sz w:val="28"/>
          <w:szCs w:val="28"/>
        </w:rPr>
        <w:t>Неусі</w:t>
      </w:r>
      <w:r w:rsidR="00AD4CC7">
        <w:rPr>
          <w:rFonts w:ascii="Times New Roman" w:eastAsia="Calibri" w:hAnsi="Times New Roman" w:cs="Times New Roman"/>
          <w:i/>
          <w:sz w:val="28"/>
          <w:szCs w:val="28"/>
        </w:rPr>
        <w:t xml:space="preserve">лін </w:t>
      </w:r>
      <w:r w:rsidR="00AD4CC7">
        <w:rPr>
          <w:rFonts w:ascii="Times New Roman" w:eastAsia="Calibri" w:hAnsi="Times New Roman" w:cs="Times New Roman"/>
          <w:i/>
          <w:sz w:val="28"/>
          <w:szCs w:val="28"/>
          <w:lang w:val="en-US"/>
        </w:rPr>
        <w:t>US</w:t>
      </w:r>
      <w:r w:rsidR="00425A08" w:rsidRPr="00CF22AE">
        <w:rPr>
          <w:rFonts w:ascii="Times New Roman" w:eastAsia="Calibri" w:hAnsi="Times New Roman" w:cs="Times New Roman"/>
          <w:i/>
          <w:sz w:val="28"/>
          <w:szCs w:val="28"/>
        </w:rPr>
        <w:t xml:space="preserve"> 2</w:t>
      </w:r>
      <w:r w:rsidR="00425A08" w:rsidRPr="00CF22AE">
        <w:rPr>
          <w:rFonts w:ascii="Times New Roman" w:eastAsia="Calibri" w:hAnsi="Times New Roman" w:cs="Times New Roman"/>
          <w:sz w:val="28"/>
          <w:szCs w:val="28"/>
        </w:rPr>
        <w:t xml:space="preserve"> – це аморфна форма алюмінометасилікату, яка використовується у фармацевтичній практиці як ковзка речовина, адсорбуючись на поверхні часток (гранул), усуває або зменшує їх шорсткість і тим самим підвищує текучість.</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Просолв 90</w:t>
      </w:r>
      <w:r w:rsidRPr="00CF22AE">
        <w:rPr>
          <w:rFonts w:ascii="Times New Roman" w:eastAsia="Calibri" w:hAnsi="Times New Roman" w:cs="Times New Roman"/>
          <w:sz w:val="28"/>
          <w:szCs w:val="28"/>
        </w:rPr>
        <w:t xml:space="preserve"> </w:t>
      </w:r>
      <w:r w:rsidR="00D77518">
        <w:rPr>
          <w:rFonts w:ascii="Times New Roman" w:eastAsia="Times New Roman" w:hAnsi="Times New Roman" w:cs="Times New Roman"/>
          <w:sz w:val="28"/>
          <w:szCs w:val="28"/>
          <w:lang w:eastAsia="uk-UA"/>
        </w:rPr>
        <w:t>–</w:t>
      </w:r>
      <w:r w:rsidRPr="00CF22AE">
        <w:rPr>
          <w:rFonts w:ascii="Times New Roman" w:eastAsia="Calibri" w:hAnsi="Times New Roman" w:cs="Times New Roman"/>
          <w:sz w:val="28"/>
          <w:szCs w:val="28"/>
        </w:rPr>
        <w:t xml:space="preserve"> </w:t>
      </w:r>
      <w:r w:rsidRPr="00CF22AE">
        <w:rPr>
          <w:rFonts w:ascii="Times New Roman" w:hAnsi="Times New Roman" w:cs="Times New Roman"/>
          <w:color w:val="000000"/>
          <w:sz w:val="28"/>
          <w:szCs w:val="28"/>
          <w:shd w:val="clear" w:color="auto" w:fill="FFFFFF"/>
        </w:rPr>
        <w:t>силікована мікрокристалічна целюлоза, являє собою унікальну комбінацію мікрокристалічної целюлози і колоїдного діоксиду кремнію. Унікальний тим, що забезпечує як оптимальне ущільнення, так і чудову текучість композицій. Він також демонструє характеристики як крихкого руйнування, так і пластичної деформації, що призводить до чудових сполучних властивостей.</w:t>
      </w:r>
    </w:p>
    <w:p w:rsidR="00425A08" w:rsidRPr="00CF22AE" w:rsidRDefault="00425A08" w:rsidP="00DB7D0E">
      <w:pPr>
        <w:spacing w:after="0" w:line="360" w:lineRule="auto"/>
        <w:ind w:firstLine="709"/>
        <w:contextualSpacing/>
        <w:jc w:val="both"/>
        <w:rPr>
          <w:rFonts w:ascii="Times New Roman" w:hAnsi="Times New Roman" w:cs="Times New Roman"/>
          <w:sz w:val="28"/>
          <w:szCs w:val="28"/>
        </w:rPr>
      </w:pPr>
    </w:p>
    <w:p w:rsidR="00425A08" w:rsidRPr="00CF22AE" w:rsidRDefault="00425A08"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w:t>
      </w:r>
      <w:r w:rsidR="007B03C3">
        <w:rPr>
          <w:rFonts w:ascii="Times New Roman" w:eastAsia="Times New Roman" w:hAnsi="Times New Roman" w:cs="Times New Roman"/>
          <w:sz w:val="28"/>
          <w:szCs w:val="28"/>
          <w:lang w:eastAsia="uk-UA"/>
        </w:rPr>
        <w:t>2.</w:t>
      </w:r>
      <w:r w:rsidRPr="00CF22AE">
        <w:rPr>
          <w:rFonts w:ascii="Times New Roman" w:eastAsia="Times New Roman" w:hAnsi="Times New Roman" w:cs="Times New Roman"/>
          <w:sz w:val="28"/>
          <w:szCs w:val="28"/>
          <w:lang w:eastAsia="uk-UA"/>
        </w:rPr>
        <w:t xml:space="preserve">Методи досліджень </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Для оцінки якості отриманих гранул проводять фармако-технологічні випробування: втрата в масі при висушуванні, ситовий аналіз, насипна густина, густина після усадки, текучість порошків, кут природного укосу, коефіцієнт Гауснера, крихкість які проводили згідно методик у відповідно</w:t>
      </w:r>
      <w:r w:rsidR="00BB2D59">
        <w:rPr>
          <w:rFonts w:ascii="Times New Roman" w:eastAsia="Calibri" w:hAnsi="Times New Roman" w:cs="Times New Roman"/>
          <w:sz w:val="28"/>
          <w:szCs w:val="28"/>
        </w:rPr>
        <w:t>сті до загальних статей ДФУ [</w:t>
      </w:r>
      <w:r w:rsidR="00AD4CC7">
        <w:rPr>
          <w:rFonts w:ascii="Times New Roman" w:eastAsia="Calibri" w:hAnsi="Times New Roman" w:cs="Times New Roman"/>
          <w:sz w:val="28"/>
          <w:szCs w:val="28"/>
        </w:rPr>
        <w:t>3</w:t>
      </w:r>
      <w:r w:rsidR="00AD4CC7" w:rsidRPr="00AD4CC7">
        <w:rPr>
          <w:rFonts w:ascii="Times New Roman" w:eastAsia="Calibri" w:hAnsi="Times New Roman" w:cs="Times New Roman"/>
          <w:sz w:val="28"/>
          <w:szCs w:val="28"/>
        </w:rPr>
        <w:t>4</w:t>
      </w:r>
      <w:r w:rsidRPr="00CF22AE">
        <w:rPr>
          <w:rFonts w:ascii="Times New Roman" w:eastAsia="Calibri" w:hAnsi="Times New Roman" w:cs="Times New Roman"/>
          <w:sz w:val="28"/>
          <w:szCs w:val="28"/>
        </w:rPr>
        <w:t>].</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Текучість</w:t>
      </w:r>
      <w:r w:rsidRPr="00CF22AE">
        <w:rPr>
          <w:rFonts w:ascii="Times New Roman" w:eastAsia="Calibri" w:hAnsi="Times New Roman" w:cs="Times New Roman"/>
          <w:sz w:val="28"/>
          <w:szCs w:val="28"/>
        </w:rPr>
        <w:t>. Для визначення плинності таблетної маси було застосовано метод, який описано в Державній Фармакопеї України, 2 вид., ст. 2.9.16, сторінка 425. Текучість була оцінена за здатністю маси, що призначена для таблетування, рухатись (текти) у вертикальному напрямку при встановлених умовах. Для визначення цього показника використовували метод нерухомої лійки.</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Насипний об’єм, насипна густина, та густина після усадки</w:t>
      </w:r>
      <w:r w:rsidRPr="00CF22AE">
        <w:rPr>
          <w:rFonts w:ascii="Times New Roman" w:eastAsia="Calibri" w:hAnsi="Times New Roman" w:cs="Times New Roman"/>
          <w:sz w:val="28"/>
          <w:szCs w:val="28"/>
        </w:rPr>
        <w:t>. Згідно монографії 2.9.34. ДФУ 2 вид.</w:t>
      </w:r>
      <w:r w:rsidR="00101084">
        <w:rPr>
          <w:rFonts w:ascii="Times New Roman" w:eastAsia="Calibri" w:hAnsi="Times New Roman" w:cs="Times New Roman"/>
          <w:sz w:val="28"/>
          <w:szCs w:val="28"/>
        </w:rPr>
        <w:t>ст.</w:t>
      </w:r>
      <w:r w:rsidR="008D54FD">
        <w:rPr>
          <w:rFonts w:ascii="Times New Roman" w:eastAsia="Calibri" w:hAnsi="Times New Roman" w:cs="Times New Roman"/>
          <w:sz w:val="28"/>
          <w:szCs w:val="28"/>
        </w:rPr>
        <w:t>473.</w:t>
      </w:r>
      <w:r w:rsidRPr="00CF22AE">
        <w:rPr>
          <w:rFonts w:ascii="Times New Roman" w:eastAsia="Calibri" w:hAnsi="Times New Roman" w:cs="Times New Roman"/>
          <w:sz w:val="28"/>
          <w:szCs w:val="28"/>
        </w:rPr>
        <w:t xml:space="preserve"> </w:t>
      </w:r>
      <w:r w:rsidR="00BB2D59" w:rsidRPr="00BB2D59">
        <w:rPr>
          <w:rFonts w:ascii="Times New Roman" w:eastAsia="Calibri" w:hAnsi="Times New Roman" w:cs="Times New Roman"/>
          <w:sz w:val="28"/>
          <w:szCs w:val="28"/>
          <w:lang w:val="ru-RU"/>
        </w:rPr>
        <w:t>[</w:t>
      </w:r>
      <w:r w:rsidR="00AD4CC7">
        <w:rPr>
          <w:rFonts w:ascii="Times New Roman" w:eastAsia="Calibri" w:hAnsi="Times New Roman" w:cs="Times New Roman"/>
          <w:sz w:val="28"/>
          <w:szCs w:val="28"/>
          <w:lang w:val="ru-RU"/>
        </w:rPr>
        <w:t>3</w:t>
      </w:r>
      <w:r w:rsidR="00AD4CC7">
        <w:rPr>
          <w:rFonts w:ascii="Times New Roman" w:hAnsi="Times New Roman" w:cs="Times New Roman" w:hint="eastAsia"/>
          <w:sz w:val="28"/>
          <w:szCs w:val="28"/>
          <w:lang w:val="ru-RU" w:eastAsia="ko-KR"/>
        </w:rPr>
        <w:t>4</w:t>
      </w:r>
      <w:r w:rsidR="00BB2D59" w:rsidRPr="00BB2D59">
        <w:rPr>
          <w:rFonts w:ascii="Times New Roman" w:eastAsia="Calibri" w:hAnsi="Times New Roman" w:cs="Times New Roman"/>
          <w:sz w:val="28"/>
          <w:szCs w:val="28"/>
          <w:lang w:val="ru-RU"/>
        </w:rPr>
        <w:t>]</w:t>
      </w:r>
      <w:r w:rsidR="000617FF">
        <w:rPr>
          <w:rFonts w:ascii="Times New Roman" w:eastAsia="Calibri" w:hAnsi="Times New Roman" w:cs="Times New Roman"/>
          <w:sz w:val="28"/>
          <w:szCs w:val="28"/>
          <w:lang w:val="ru-RU"/>
        </w:rPr>
        <w:t xml:space="preserve"> </w:t>
      </w:r>
      <w:r w:rsidR="000617FF">
        <w:rPr>
          <w:rFonts w:ascii="Times New Roman" w:eastAsia="Calibri" w:hAnsi="Times New Roman" w:cs="Times New Roman"/>
          <w:sz w:val="28"/>
          <w:szCs w:val="28"/>
        </w:rPr>
        <w:t xml:space="preserve">проводили випробування. </w:t>
      </w:r>
      <w:r w:rsidRPr="00CF22AE">
        <w:rPr>
          <w:rFonts w:ascii="Times New Roman" w:eastAsia="Calibri" w:hAnsi="Times New Roman" w:cs="Times New Roman"/>
          <w:sz w:val="28"/>
          <w:szCs w:val="28"/>
        </w:rPr>
        <w:t>В сухий циліндр без ущільнення поміщали точну наважку субстанції та/або маси для таблетування. На підставці закріплювали циліндр й фіксували насипний об'єм до усадки V</w:t>
      </w:r>
      <w:r w:rsidRPr="00CF22AE">
        <w:rPr>
          <w:rFonts w:ascii="Times New Roman" w:eastAsia="Calibri" w:hAnsi="Times New Roman" w:cs="Times New Roman"/>
          <w:sz w:val="28"/>
          <w:szCs w:val="28"/>
          <w:vertAlign w:val="subscript"/>
        </w:rPr>
        <w:t>0.</w:t>
      </w:r>
      <w:r w:rsidRPr="00CF22AE">
        <w:rPr>
          <w:rFonts w:ascii="Times New Roman" w:eastAsia="Calibri" w:hAnsi="Times New Roman" w:cs="Times New Roman"/>
          <w:sz w:val="28"/>
          <w:szCs w:val="28"/>
        </w:rPr>
        <w:t xml:space="preserve"> Проводили 40 зіскоків циліндра і фіксували об'єм V</w:t>
      </w:r>
      <w:r w:rsidRPr="00CF22AE">
        <w:rPr>
          <w:rFonts w:ascii="Times New Roman" w:eastAsia="Calibri" w:hAnsi="Times New Roman" w:cs="Times New Roman"/>
          <w:sz w:val="28"/>
          <w:szCs w:val="28"/>
          <w:vertAlign w:val="subscript"/>
        </w:rPr>
        <w:t>40</w:t>
      </w:r>
      <w:r w:rsidRPr="00CF22AE">
        <w:rPr>
          <w:rFonts w:ascii="Times New Roman" w:eastAsia="Calibri" w:hAnsi="Times New Roman" w:cs="Times New Roman"/>
          <w:sz w:val="28"/>
          <w:szCs w:val="28"/>
        </w:rPr>
        <w:t xml:space="preserve"> з точністю до найближчої позначки.</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 xml:space="preserve"> Одержані результати насипних об’ємів використовували для розрахунку коефіцієнта Гауснера: </w:t>
      </w:r>
    </w:p>
    <w:p w:rsidR="00425A08" w:rsidRPr="00CF22AE" w:rsidRDefault="00425A08" w:rsidP="00DB7D0E">
      <w:pPr>
        <w:spacing w:after="0" w:line="360" w:lineRule="auto"/>
        <w:ind w:firstLine="709"/>
        <w:contextualSpacing/>
        <w:jc w:val="both"/>
        <w:rPr>
          <w:rFonts w:ascii="Times New Roman" w:eastAsia="Times New Roman" w:hAnsi="Times New Roman" w:cs="Times New Roman"/>
          <w:sz w:val="28"/>
          <w:szCs w:val="28"/>
        </w:rPr>
      </w:pPr>
      <w:r w:rsidRPr="00CF22AE">
        <w:rPr>
          <w:rFonts w:ascii="Times New Roman" w:eastAsia="Calibri" w:hAnsi="Times New Roman" w:cs="Times New Roman"/>
          <w:i/>
          <w:sz w:val="28"/>
          <w:szCs w:val="28"/>
        </w:rPr>
        <w:t>Коефіцієнт Гауснера</w:t>
      </w:r>
      <w:r w:rsidRPr="00CF22AE">
        <w:rPr>
          <w:rFonts w:ascii="Times New Roman" w:eastAsia="Calibri" w:hAnsi="Times New Roman" w:cs="Times New Roman"/>
          <w:sz w:val="28"/>
          <w:szCs w:val="28"/>
        </w:rPr>
        <w:t xml:space="preserve"> = </w:t>
      </w:r>
      <m:oMath>
        <m:f>
          <m:fPr>
            <m:ctrlPr>
              <w:rPr>
                <w:rFonts w:ascii="Cambria Math" w:eastAsia="Calibri" w:hAnsi="Cambria Math" w:cs="Times New Roman"/>
                <w:i/>
                <w:sz w:val="28"/>
                <w:szCs w:val="28"/>
              </w:rPr>
            </m:ctrlPr>
          </m:fPr>
          <m:num>
            <m:r>
              <w:rPr>
                <w:rFonts w:ascii="Cambria Math" w:eastAsia="Calibri" w:hAnsi="Cambria Math" w:cs="Times New Roman"/>
                <w:sz w:val="28"/>
                <w:szCs w:val="28"/>
              </w:rPr>
              <m:t>V0</m:t>
            </m:r>
          </m:num>
          <m:den>
            <m:r>
              <w:rPr>
                <w:rFonts w:ascii="Cambria Math" w:eastAsia="Calibri" w:hAnsi="Cambria Math" w:cs="Times New Roman"/>
                <w:sz w:val="28"/>
                <w:szCs w:val="28"/>
              </w:rPr>
              <m:t>Vf</m:t>
            </m:r>
          </m:den>
        </m:f>
      </m:oMath>
      <w:r w:rsidRPr="00CF22AE">
        <w:rPr>
          <w:rFonts w:ascii="Times New Roman" w:eastAsia="Calibri" w:hAnsi="Times New Roman" w:cs="Times New Roman"/>
          <w:sz w:val="28"/>
          <w:szCs w:val="28"/>
        </w:rPr>
        <w:t xml:space="preserve">    (2.1)</w:t>
      </w:r>
    </w:p>
    <w:p w:rsidR="00425A08" w:rsidRPr="00CF22AE" w:rsidRDefault="00425A08" w:rsidP="00DB7D0E">
      <w:p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 xml:space="preserve">де: </w:t>
      </w:r>
    </w:p>
    <w:p w:rsidR="00425A08" w:rsidRPr="00CF22AE" w:rsidRDefault="00425A08" w:rsidP="00DB7D0E">
      <w:pPr>
        <w:numPr>
          <w:ilvl w:val="0"/>
          <w:numId w:val="8"/>
        </w:num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V</w:t>
      </w:r>
      <w:r w:rsidRPr="00CF22AE">
        <w:rPr>
          <w:rFonts w:ascii="Times New Roman" w:eastAsia="Calibri" w:hAnsi="Times New Roman" w:cs="Times New Roman"/>
          <w:sz w:val="28"/>
          <w:szCs w:val="28"/>
          <w:vertAlign w:val="subscript"/>
        </w:rPr>
        <w:t>o</w:t>
      </w:r>
      <w:r w:rsidRPr="00CF22AE">
        <w:rPr>
          <w:rFonts w:ascii="Times New Roman" w:eastAsia="Calibri" w:hAnsi="Times New Roman" w:cs="Times New Roman"/>
          <w:sz w:val="28"/>
          <w:szCs w:val="28"/>
        </w:rPr>
        <w:t xml:space="preserve"> – насипний об’єм до усадки, мл; </w:t>
      </w:r>
    </w:p>
    <w:p w:rsidR="00425A08" w:rsidRPr="00CF22AE" w:rsidRDefault="00425A08" w:rsidP="00DB7D0E">
      <w:pPr>
        <w:numPr>
          <w:ilvl w:val="0"/>
          <w:numId w:val="8"/>
        </w:numPr>
        <w:spacing w:after="0" w:line="360" w:lineRule="auto"/>
        <w:ind w:firstLine="709"/>
        <w:contextualSpacing/>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V</w:t>
      </w:r>
      <w:r w:rsidRPr="00CF22AE">
        <w:rPr>
          <w:rFonts w:ascii="Times New Roman" w:eastAsia="Calibri" w:hAnsi="Times New Roman" w:cs="Times New Roman"/>
          <w:sz w:val="28"/>
          <w:szCs w:val="28"/>
          <w:vertAlign w:val="subscript"/>
        </w:rPr>
        <w:t>f</w:t>
      </w:r>
      <w:r w:rsidRPr="00CF22AE">
        <w:rPr>
          <w:rFonts w:ascii="Times New Roman" w:eastAsia="Calibri" w:hAnsi="Times New Roman" w:cs="Times New Roman"/>
          <w:sz w:val="28"/>
          <w:szCs w:val="28"/>
        </w:rPr>
        <w:t xml:space="preserve"> – кінцевий об’єм після усадки, мл.</w:t>
      </w:r>
    </w:p>
    <w:p w:rsidR="00425A08" w:rsidRPr="00CF22AE" w:rsidRDefault="00425A08"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Кут природнього укосу</w:t>
      </w:r>
      <w:r w:rsidRPr="00CF22AE">
        <w:rPr>
          <w:rFonts w:ascii="Times New Roman" w:eastAsia="Calibri" w:hAnsi="Times New Roman" w:cs="Times New Roman"/>
          <w:sz w:val="28"/>
          <w:szCs w:val="28"/>
        </w:rPr>
        <w:t xml:space="preserve"> -  Згідно патенту на корисну модель </w:t>
      </w:r>
      <w:r w:rsidRPr="00CF22AE">
        <w:rPr>
          <w:rFonts w:ascii="Times New Roman" w:hAnsi="Times New Roman" w:cs="Times New Roman"/>
          <w:sz w:val="28"/>
          <w:szCs w:val="28"/>
          <w:shd w:val="clear" w:color="auto" w:fill="FFFFFF"/>
        </w:rPr>
        <w:t>спосіб визначення кута природного укосу сипучих матеріалів, включає встановлення на горизонтальному диску циліндричного стакана, заповнення його досліджуваним сипучим матеріалом, піднімання стакана з формуванням на горизонтальному диску гірки із сипучого матеріалу, фотографування щонайменше з двох боків утвореної гірки із сипучого матеріалу, аналізування форми проекцій гірки на вертикальну площину та обрахування кута природного укосу, який відрізняється тим, що аналізування форми проекцій гірки на вертикальну площину здійснюють шляхом об'єднання контурів гірки з отриманих фотознімків, після чого відкидають до 10 % ділянок гірки, що примикають до її вершини та основи, а кут природного укосу обраховують як арктангенс коефіцієнта при аргументі рівняння лінійної регресії контуру залишкової частини гірки за даними фотознімків.</w:t>
      </w:r>
    </w:p>
    <w:p w:rsidR="00425A08" w:rsidRPr="00CF22AE" w:rsidRDefault="00425A08" w:rsidP="00DB7D0E">
      <w:pPr>
        <w:spacing w:line="360" w:lineRule="auto"/>
        <w:ind w:firstLine="709"/>
        <w:jc w:val="both"/>
        <w:rPr>
          <w:rFonts w:ascii="Times New Roman" w:eastAsia="Times New Roman" w:hAnsi="Times New Roman" w:cs="Times New Roman"/>
          <w:sz w:val="28"/>
          <w:szCs w:val="28"/>
          <w:lang w:eastAsia="ru-RU"/>
        </w:rPr>
      </w:pPr>
      <w:r w:rsidRPr="00CF22AE">
        <w:rPr>
          <w:rFonts w:ascii="Times New Roman" w:eastAsia="Times New Roman" w:hAnsi="Times New Roman" w:cs="Times New Roman"/>
          <w:i/>
          <w:iCs/>
          <w:sz w:val="28"/>
          <w:szCs w:val="28"/>
          <w:lang w:eastAsia="ru-RU"/>
        </w:rPr>
        <w:t>Втрата в масі при висушуванні</w:t>
      </w:r>
      <w:r w:rsidRPr="00CF22AE">
        <w:rPr>
          <w:rFonts w:ascii="Times New Roman" w:eastAsia="Times New Roman" w:hAnsi="Times New Roman" w:cs="Times New Roman"/>
          <w:sz w:val="28"/>
          <w:szCs w:val="28"/>
          <w:lang w:eastAsia="ru-RU"/>
        </w:rPr>
        <w:t xml:space="preserve"> При визначенні втрати в масі при  дослід</w:t>
      </w:r>
      <w:r w:rsidR="004D45D6">
        <w:rPr>
          <w:rFonts w:ascii="Times New Roman" w:eastAsia="Times New Roman" w:hAnsi="Times New Roman" w:cs="Times New Roman"/>
          <w:sz w:val="28"/>
          <w:szCs w:val="28"/>
          <w:lang w:eastAsia="ru-RU"/>
        </w:rPr>
        <w:t>жувану речовину в кількості 0,5</w:t>
      </w:r>
      <w:r w:rsidR="001203C7">
        <w:rPr>
          <w:rFonts w:ascii="Times New Roman" w:eastAsia="Times New Roman" w:hAnsi="Times New Roman" w:cs="Times New Roman"/>
          <w:sz w:val="28"/>
          <w:szCs w:val="28"/>
          <w:lang w:eastAsia="uk-UA"/>
        </w:rPr>
        <w:t>-</w:t>
      </w:r>
      <w:r w:rsidRPr="00CF22AE">
        <w:rPr>
          <w:rFonts w:ascii="Times New Roman" w:eastAsia="Times New Roman" w:hAnsi="Times New Roman" w:cs="Times New Roman"/>
          <w:sz w:val="28"/>
          <w:szCs w:val="28"/>
          <w:lang w:eastAsia="ru-RU"/>
        </w:rPr>
        <w:t>2,0 г рівномірно поміщали у відтаровану плоскодонну чашку і висушували при температурі від 100 °С до 105 °С до постійної маси. Результат виражали у вагових відсотках.</w:t>
      </w:r>
    </w:p>
    <w:p w:rsidR="004C2207" w:rsidRPr="008A1D54" w:rsidRDefault="00425A08" w:rsidP="00DB7D0E">
      <w:pPr>
        <w:spacing w:line="360" w:lineRule="auto"/>
        <w:ind w:firstLine="709"/>
        <w:jc w:val="both"/>
        <w:rPr>
          <w:rFonts w:ascii="Times New Roman" w:eastAsia="Calibri" w:hAnsi="Times New Roman" w:cs="Times New Roman"/>
          <w:sz w:val="28"/>
          <w:szCs w:val="28"/>
          <w:lang w:val="ru-RU"/>
        </w:rPr>
      </w:pPr>
      <w:r w:rsidRPr="009B51FA">
        <w:rPr>
          <w:rFonts w:ascii="Times New Roman" w:eastAsia="Calibri" w:hAnsi="Times New Roman" w:cs="Times New Roman"/>
          <w:i/>
          <w:sz w:val="28"/>
          <w:szCs w:val="28"/>
        </w:rPr>
        <w:t xml:space="preserve">Крихкість </w:t>
      </w:r>
      <w:r w:rsidR="00880E0E" w:rsidRPr="009B51FA">
        <w:rPr>
          <w:rFonts w:ascii="Times New Roman" w:eastAsia="Calibri" w:hAnsi="Times New Roman" w:cs="Times New Roman"/>
          <w:i/>
          <w:sz w:val="28"/>
          <w:szCs w:val="28"/>
        </w:rPr>
        <w:t>–</w:t>
      </w:r>
      <w:r w:rsidR="001203C7">
        <w:rPr>
          <w:rFonts w:ascii="Times New Roman" w:eastAsia="Calibri" w:hAnsi="Times New Roman" w:cs="Times New Roman"/>
          <w:i/>
          <w:sz w:val="28"/>
          <w:szCs w:val="28"/>
        </w:rPr>
        <w:t xml:space="preserve"> </w:t>
      </w:r>
      <w:r w:rsidR="008A1D54" w:rsidRPr="009B51FA">
        <w:rPr>
          <w:rFonts w:ascii="Times New Roman" w:eastAsia="Calibri" w:hAnsi="Times New Roman" w:cs="Times New Roman"/>
          <w:sz w:val="28"/>
          <w:szCs w:val="28"/>
        </w:rPr>
        <w:t>Дрібні</w:t>
      </w:r>
      <w:r w:rsidR="008A1D54" w:rsidRPr="008A1D54">
        <w:rPr>
          <w:rFonts w:ascii="Times New Roman" w:eastAsia="Calibri" w:hAnsi="Times New Roman" w:cs="Times New Roman"/>
          <w:sz w:val="28"/>
          <w:szCs w:val="28"/>
        </w:rPr>
        <w:t xml:space="preserve"> частинки видаляють просіюванням (використовують сито з розміром отворів 710 мкм або будь-яке інше п</w:t>
      </w:r>
      <w:r w:rsidR="008A1D54">
        <w:rPr>
          <w:rFonts w:ascii="Times New Roman" w:eastAsia="Calibri" w:hAnsi="Times New Roman" w:cs="Times New Roman"/>
          <w:sz w:val="28"/>
          <w:szCs w:val="28"/>
        </w:rPr>
        <w:t>ідхоже сито). У циліндр (А) по</w:t>
      </w:r>
      <w:r w:rsidR="008A1D54" w:rsidRPr="008A1D54">
        <w:rPr>
          <w:rFonts w:ascii="Times New Roman" w:eastAsia="Calibri" w:hAnsi="Times New Roman" w:cs="Times New Roman"/>
          <w:sz w:val="28"/>
          <w:szCs w:val="28"/>
        </w:rPr>
        <w:t>міщають близь</w:t>
      </w:r>
      <w:r w:rsidR="008A1D54">
        <w:rPr>
          <w:rFonts w:ascii="Times New Roman" w:eastAsia="Calibri" w:hAnsi="Times New Roman" w:cs="Times New Roman"/>
          <w:sz w:val="28"/>
          <w:szCs w:val="28"/>
        </w:rPr>
        <w:t>ко 8.0 г гранул або сфероїдів (</w:t>
      </w:r>
      <w:r w:rsidR="008A1D54">
        <w:rPr>
          <w:rFonts w:ascii="Times New Roman" w:eastAsia="Calibri" w:hAnsi="Times New Roman" w:cs="Times New Roman"/>
          <w:sz w:val="28"/>
          <w:szCs w:val="28"/>
          <w:lang w:val="en-US"/>
        </w:rPr>
        <w:t>m</w:t>
      </w:r>
      <w:r w:rsidR="008A1D54" w:rsidRPr="008A1D54">
        <w:rPr>
          <w:rFonts w:ascii="Times New Roman" w:eastAsia="Calibri" w:hAnsi="Times New Roman" w:cs="Times New Roman"/>
          <w:sz w:val="28"/>
          <w:szCs w:val="28"/>
          <w:vertAlign w:val="subscript"/>
          <w:lang w:val="ru-RU"/>
        </w:rPr>
        <w:t>1</w:t>
      </w:r>
      <w:r w:rsidR="008A1D54" w:rsidRPr="008A1D54">
        <w:rPr>
          <w:rFonts w:ascii="Times New Roman" w:eastAsia="Calibri" w:hAnsi="Times New Roman" w:cs="Times New Roman"/>
          <w:sz w:val="28"/>
          <w:szCs w:val="28"/>
        </w:rPr>
        <w:t>), прилад закриваю</w:t>
      </w:r>
      <w:r w:rsidR="008A1D54">
        <w:rPr>
          <w:rFonts w:ascii="Times New Roman" w:eastAsia="Calibri" w:hAnsi="Times New Roman" w:cs="Times New Roman"/>
          <w:sz w:val="28"/>
          <w:szCs w:val="28"/>
        </w:rPr>
        <w:t>ть сітчастою кришкою (В). Регу</w:t>
      </w:r>
      <w:r w:rsidR="008A1D54" w:rsidRPr="008A1D54">
        <w:rPr>
          <w:rFonts w:ascii="Times New Roman" w:eastAsia="Calibri" w:hAnsi="Times New Roman" w:cs="Times New Roman"/>
          <w:sz w:val="28"/>
          <w:szCs w:val="28"/>
        </w:rPr>
        <w:t>люють швидкість потоку стиснутого пов</w:t>
      </w:r>
      <w:r w:rsidR="008A1D54">
        <w:rPr>
          <w:rFonts w:ascii="Times New Roman" w:eastAsia="Calibri" w:hAnsi="Times New Roman" w:cs="Times New Roman"/>
          <w:sz w:val="28"/>
          <w:szCs w:val="28"/>
        </w:rPr>
        <w:t>ітря на рів</w:t>
      </w:r>
      <w:r w:rsidR="008A1D54" w:rsidRPr="008A1D54">
        <w:rPr>
          <w:rFonts w:ascii="Times New Roman" w:eastAsia="Calibri" w:hAnsi="Times New Roman" w:cs="Times New Roman"/>
          <w:sz w:val="28"/>
          <w:szCs w:val="28"/>
        </w:rPr>
        <w:t>ні 0.45 м³ год</w:t>
      </w:r>
      <w:r w:rsidR="008A1D54" w:rsidRPr="008A1D54">
        <w:rPr>
          <w:rFonts w:ascii="Times New Roman" w:eastAsia="Calibri" w:hAnsi="Times New Roman" w:cs="Times New Roman"/>
          <w:sz w:val="28"/>
          <w:szCs w:val="28"/>
          <w:vertAlign w:val="superscript"/>
        </w:rPr>
        <w:t>-1</w:t>
      </w:r>
      <w:r w:rsidR="008A1D54">
        <w:rPr>
          <w:rFonts w:ascii="Times New Roman" w:eastAsia="Calibri" w:hAnsi="Times New Roman" w:cs="Times New Roman"/>
          <w:sz w:val="28"/>
          <w:szCs w:val="28"/>
        </w:rPr>
        <w:t>. Через 15 хв із приладу</w:t>
      </w:r>
      <w:r w:rsidR="008A1D54" w:rsidRPr="008A1D54">
        <w:rPr>
          <w:rFonts w:ascii="Times New Roman" w:eastAsia="Calibri" w:hAnsi="Times New Roman" w:cs="Times New Roman"/>
          <w:sz w:val="28"/>
          <w:szCs w:val="28"/>
        </w:rPr>
        <w:t xml:space="preserve">, від'єднавши U-подібну трубку, видаляють гранули </w:t>
      </w:r>
      <w:r w:rsidR="008A1D54">
        <w:rPr>
          <w:rFonts w:ascii="Times New Roman" w:eastAsia="Calibri" w:hAnsi="Times New Roman" w:cs="Times New Roman"/>
          <w:sz w:val="28"/>
          <w:szCs w:val="28"/>
        </w:rPr>
        <w:t>або сфероїди і знову зважують (</w:t>
      </w:r>
      <w:r w:rsidR="008A1D54">
        <w:rPr>
          <w:rFonts w:ascii="Times New Roman" w:eastAsia="Calibri" w:hAnsi="Times New Roman" w:cs="Times New Roman"/>
          <w:sz w:val="28"/>
          <w:szCs w:val="28"/>
          <w:lang w:val="en-US"/>
        </w:rPr>
        <w:t>m</w:t>
      </w:r>
      <w:r w:rsidR="008A1D54" w:rsidRPr="008A1D54">
        <w:rPr>
          <w:rFonts w:ascii="Cambria Math" w:eastAsia="Calibri" w:hAnsi="Cambria Math" w:cs="Cambria Math"/>
          <w:sz w:val="28"/>
          <w:szCs w:val="28"/>
        </w:rPr>
        <w:t>₂</w:t>
      </w:r>
      <w:r w:rsidR="008A1D54" w:rsidRPr="008A1D54">
        <w:rPr>
          <w:rFonts w:ascii="Times New Roman" w:eastAsia="Calibri" w:hAnsi="Times New Roman" w:cs="Times New Roman"/>
          <w:sz w:val="28"/>
          <w:szCs w:val="28"/>
        </w:rPr>
        <w:t>). Випробовують 3 зразки та розраховують середнє значення. Внутрішню поверхню приладу після кожного третього випробуванн</w:t>
      </w:r>
      <w:r w:rsidR="008A1D54">
        <w:rPr>
          <w:rFonts w:ascii="Times New Roman" w:eastAsia="Calibri" w:hAnsi="Times New Roman" w:cs="Times New Roman"/>
          <w:sz w:val="28"/>
          <w:szCs w:val="28"/>
        </w:rPr>
        <w:t>я ре</w:t>
      </w:r>
      <w:r w:rsidR="008A1D54" w:rsidRPr="008A1D54">
        <w:rPr>
          <w:rFonts w:ascii="Times New Roman" w:eastAsia="Calibri" w:hAnsi="Times New Roman" w:cs="Times New Roman"/>
          <w:sz w:val="28"/>
          <w:szCs w:val="28"/>
        </w:rPr>
        <w:t>комендується обп</w:t>
      </w:r>
      <w:r w:rsidR="008A1D54">
        <w:rPr>
          <w:rFonts w:ascii="Times New Roman" w:eastAsia="Calibri" w:hAnsi="Times New Roman" w:cs="Times New Roman"/>
          <w:sz w:val="28"/>
          <w:szCs w:val="28"/>
        </w:rPr>
        <w:t>рискувати антистатиком для запо</w:t>
      </w:r>
      <w:r w:rsidR="008A1D54" w:rsidRPr="008A1D54">
        <w:rPr>
          <w:rFonts w:ascii="Times New Roman" w:eastAsia="Calibri" w:hAnsi="Times New Roman" w:cs="Times New Roman"/>
          <w:sz w:val="28"/>
          <w:szCs w:val="28"/>
        </w:rPr>
        <w:t>бігання електростатичному заряджанню</w:t>
      </w:r>
      <w:r w:rsidR="008A1D54" w:rsidRPr="008A1D54">
        <w:rPr>
          <w:rFonts w:ascii="Times New Roman" w:eastAsia="Calibri" w:hAnsi="Times New Roman" w:cs="Times New Roman"/>
          <w:sz w:val="28"/>
          <w:szCs w:val="28"/>
          <w:lang w:val="ru-RU"/>
        </w:rPr>
        <w:t>.</w:t>
      </w:r>
    </w:p>
    <w:p w:rsidR="00AF7622" w:rsidRPr="00CF22AE" w:rsidRDefault="00C97202"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i/>
          <w:sz w:val="28"/>
          <w:szCs w:val="28"/>
        </w:rPr>
        <w:t xml:space="preserve"> </w:t>
      </w:r>
      <w:r w:rsidRPr="00CF22AE">
        <w:rPr>
          <w:rFonts w:ascii="Times New Roman" w:eastAsia="Calibri" w:hAnsi="Times New Roman" w:cs="Times New Roman"/>
          <w:sz w:val="28"/>
          <w:szCs w:val="28"/>
        </w:rPr>
        <w:t>F=</w:t>
      </w:r>
      <w:r w:rsidR="004C2207" w:rsidRPr="00CF22AE">
        <w:rPr>
          <w:rFonts w:ascii="Times New Roman" w:eastAsia="Calibri" w:hAnsi="Times New Roman" w:cs="Times New Roman"/>
          <w:sz w:val="28"/>
          <w:szCs w:val="28"/>
        </w:rPr>
        <w:t xml:space="preserve"> </w:t>
      </w:r>
      <m:oMath>
        <m:f>
          <m:fPr>
            <m:ctrlPr>
              <w:rPr>
                <w:rFonts w:ascii="Cambria Math" w:eastAsia="Calibri" w:hAnsi="Cambria Math" w:cs="Times New Roman"/>
                <w:i/>
                <w:sz w:val="28"/>
                <w:szCs w:val="28"/>
              </w:rPr>
            </m:ctrlPr>
          </m:fPr>
          <m:num>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m</m:t>
                </m:r>
              </m:e>
              <m:sub>
                <m:r>
                  <w:rPr>
                    <w:rFonts w:ascii="Cambria Math" w:eastAsia="Calibri" w:hAnsi="Cambria Math" w:cs="Times New Roman"/>
                    <w:sz w:val="28"/>
                    <w:szCs w:val="28"/>
                  </w:rPr>
                  <m:t>1</m:t>
                </m:r>
              </m:sub>
            </m:sSub>
            <m:d>
              <m:dPr>
                <m:ctrlPr>
                  <w:rPr>
                    <w:rFonts w:ascii="Cambria Math" w:eastAsia="Calibri" w:hAnsi="Cambria Math" w:cs="Times New Roman"/>
                    <w:i/>
                    <w:sz w:val="28"/>
                    <w:szCs w:val="28"/>
                  </w:rPr>
                </m:ctrlPr>
              </m:dPr>
              <m:e>
                <m:r>
                  <w:rPr>
                    <w:rFonts w:ascii="Cambria Math" w:eastAsia="Calibri" w:hAnsi="Cambria Math" w:cs="Times New Roman"/>
                    <w:sz w:val="28"/>
                    <w:szCs w:val="28"/>
                  </w:rPr>
                  <m:t>100-</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1</m:t>
                    </m:r>
                  </m:sub>
                </m:sSub>
              </m:e>
            </m:d>
            <m:r>
              <w:rPr>
                <w:rFonts w:ascii="Cambria Math" w:eastAsia="Calibri" w:hAnsi="Cambria Math" w:cs="Times New Roman"/>
                <w:sz w:val="28"/>
                <w:szCs w:val="28"/>
              </w:rPr>
              <m:t>-</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m</m:t>
                </m:r>
              </m:e>
              <m:sub>
                <m:r>
                  <w:rPr>
                    <w:rFonts w:ascii="Cambria Math" w:eastAsia="Calibri" w:hAnsi="Cambria Math" w:cs="Times New Roman"/>
                    <w:sz w:val="28"/>
                    <w:szCs w:val="28"/>
                  </w:rPr>
                  <m:t>2</m:t>
                </m:r>
              </m:sub>
            </m:sSub>
            <m:r>
              <w:rPr>
                <w:rFonts w:ascii="Cambria Math" w:eastAsia="Calibri" w:hAnsi="Cambria Math" w:cs="Times New Roman"/>
                <w:sz w:val="28"/>
                <w:szCs w:val="28"/>
              </w:rPr>
              <m:t>(100-</m:t>
            </m:r>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T</m:t>
                </m:r>
              </m:e>
              <m:sub>
                <m:r>
                  <w:rPr>
                    <w:rFonts w:ascii="Cambria Math" w:eastAsia="Calibri" w:hAnsi="Cambria Math" w:cs="Times New Roman"/>
                    <w:sz w:val="28"/>
                    <w:szCs w:val="28"/>
                  </w:rPr>
                  <m:t>2</m:t>
                </m:r>
              </m:sub>
            </m:sSub>
            <m:r>
              <w:rPr>
                <w:rFonts w:ascii="Cambria Math" w:eastAsia="Calibri" w:hAnsi="Cambria Math" w:cs="Times New Roman"/>
                <w:sz w:val="28"/>
                <w:szCs w:val="28"/>
              </w:rPr>
              <m:t>)</m:t>
            </m:r>
          </m:num>
          <m:den>
            <m:sSub>
              <m:sSubPr>
                <m:ctrlPr>
                  <w:rPr>
                    <w:rFonts w:ascii="Cambria Math" w:eastAsia="Calibri" w:hAnsi="Cambria Math" w:cs="Times New Roman"/>
                    <w:i/>
                    <w:sz w:val="28"/>
                    <w:szCs w:val="28"/>
                  </w:rPr>
                </m:ctrlPr>
              </m:sSubPr>
              <m:e>
                <m:r>
                  <w:rPr>
                    <w:rFonts w:ascii="Cambria Math" w:eastAsia="Calibri" w:hAnsi="Cambria Math" w:cs="Times New Roman"/>
                    <w:sz w:val="28"/>
                    <w:szCs w:val="28"/>
                  </w:rPr>
                  <m:t>m</m:t>
                </m:r>
              </m:e>
              <m:sub>
                <m:r>
                  <w:rPr>
                    <w:rFonts w:ascii="Cambria Math" w:eastAsia="Calibri" w:hAnsi="Cambria Math" w:cs="Times New Roman"/>
                    <w:sz w:val="28"/>
                    <w:szCs w:val="28"/>
                  </w:rPr>
                  <m:t>1</m:t>
                </m:r>
              </m:sub>
            </m:sSub>
          </m:den>
        </m:f>
        <m:r>
          <w:rPr>
            <w:rFonts w:ascii="Cambria Math" w:eastAsia="Calibri" w:hAnsi="Cambria Math" w:cs="Times New Roman"/>
            <w:sz w:val="28"/>
            <w:szCs w:val="28"/>
          </w:rPr>
          <m:t>×100</m:t>
        </m:r>
      </m:oMath>
      <w:r w:rsidR="004D45D6">
        <w:rPr>
          <w:rFonts w:ascii="Times New Roman" w:eastAsia="Calibri" w:hAnsi="Times New Roman" w:cs="Times New Roman"/>
          <w:sz w:val="28"/>
          <w:szCs w:val="28"/>
        </w:rPr>
        <w:t xml:space="preserve">  </w:t>
      </w:r>
      <w:r w:rsidR="004C2207" w:rsidRPr="00CF22AE">
        <w:rPr>
          <w:rFonts w:ascii="Times New Roman" w:eastAsia="Calibri" w:hAnsi="Times New Roman" w:cs="Times New Roman"/>
          <w:sz w:val="28"/>
          <w:szCs w:val="28"/>
        </w:rPr>
        <w:t xml:space="preserve"> </w:t>
      </w:r>
      <w:r w:rsidR="004D45D6">
        <w:rPr>
          <w:rFonts w:ascii="Times New Roman" w:eastAsia="Calibri" w:hAnsi="Times New Roman" w:cs="Times New Roman"/>
          <w:sz w:val="28"/>
          <w:szCs w:val="28"/>
        </w:rPr>
        <w:t>(2.2)</w:t>
      </w:r>
    </w:p>
    <w:p w:rsidR="004C2207" w:rsidRPr="00CF22AE" w:rsidRDefault="004C2207"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 xml:space="preserve"> де:</w:t>
      </w:r>
    </w:p>
    <w:p w:rsidR="004C2207" w:rsidRPr="00CF22AE" w:rsidRDefault="004C2207"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F – крихкість гранул</w:t>
      </w:r>
    </w:p>
    <w:p w:rsidR="004C2207" w:rsidRPr="00CF22AE" w:rsidRDefault="004C2207"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T</w:t>
      </w:r>
      <w:r w:rsidRPr="00CF22AE">
        <w:rPr>
          <w:rFonts w:ascii="Times New Roman" w:eastAsia="Calibri" w:hAnsi="Times New Roman" w:cs="Times New Roman"/>
          <w:sz w:val="28"/>
          <w:szCs w:val="28"/>
          <w:vertAlign w:val="subscript"/>
        </w:rPr>
        <w:t xml:space="preserve">1 </w:t>
      </w:r>
      <w:r w:rsidRPr="00CF22AE">
        <w:rPr>
          <w:rFonts w:ascii="Times New Roman" w:eastAsia="Calibri" w:hAnsi="Times New Roman" w:cs="Times New Roman"/>
          <w:sz w:val="28"/>
          <w:szCs w:val="28"/>
        </w:rPr>
        <w:t>– втрата в масі при висушуванні до випробовування, у відсотках</w:t>
      </w:r>
    </w:p>
    <w:p w:rsidR="004C2207" w:rsidRPr="00CF22AE" w:rsidRDefault="004C2207"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T</w:t>
      </w:r>
      <w:r w:rsidRPr="00CF22AE">
        <w:rPr>
          <w:rFonts w:ascii="Times New Roman" w:eastAsia="Calibri" w:hAnsi="Times New Roman" w:cs="Times New Roman"/>
          <w:sz w:val="28"/>
          <w:szCs w:val="28"/>
          <w:vertAlign w:val="subscript"/>
        </w:rPr>
        <w:t xml:space="preserve">2 </w:t>
      </w:r>
      <w:r w:rsidRPr="00CF22AE">
        <w:rPr>
          <w:rFonts w:ascii="Times New Roman" w:eastAsia="Calibri" w:hAnsi="Times New Roman" w:cs="Times New Roman"/>
          <w:sz w:val="28"/>
          <w:szCs w:val="28"/>
        </w:rPr>
        <w:t>– втрата в масі при висушуванні після випробовування у відсотках</w:t>
      </w:r>
    </w:p>
    <w:p w:rsidR="004C2207" w:rsidRPr="00CF22AE" w:rsidRDefault="004C2207" w:rsidP="00DB7D0E">
      <w:pPr>
        <w:spacing w:line="360" w:lineRule="auto"/>
        <w:ind w:firstLine="709"/>
        <w:jc w:val="both"/>
        <w:rPr>
          <w:rFonts w:ascii="Times New Roman" w:eastAsia="Calibri" w:hAnsi="Times New Roman" w:cs="Times New Roman"/>
          <w:sz w:val="28"/>
          <w:szCs w:val="28"/>
        </w:rPr>
      </w:pPr>
      <w:r w:rsidRPr="00CF22AE">
        <w:rPr>
          <w:rFonts w:ascii="Times New Roman" w:eastAsia="Calibri" w:hAnsi="Times New Roman" w:cs="Times New Roman"/>
          <w:sz w:val="28"/>
          <w:szCs w:val="28"/>
        </w:rPr>
        <w:t>m</w:t>
      </w:r>
      <w:r w:rsidRPr="00CF22AE">
        <w:rPr>
          <w:rFonts w:ascii="Times New Roman" w:eastAsia="Calibri" w:hAnsi="Times New Roman" w:cs="Times New Roman"/>
          <w:sz w:val="28"/>
          <w:szCs w:val="28"/>
          <w:vertAlign w:val="subscript"/>
        </w:rPr>
        <w:t xml:space="preserve">1 </w:t>
      </w:r>
      <w:r w:rsidRPr="00CF22AE">
        <w:rPr>
          <w:rFonts w:ascii="Times New Roman" w:eastAsia="Calibri" w:hAnsi="Times New Roman" w:cs="Times New Roman"/>
          <w:sz w:val="28"/>
          <w:szCs w:val="28"/>
        </w:rPr>
        <w:t>– маса гранул до випробування, в грамах</w:t>
      </w:r>
    </w:p>
    <w:p w:rsidR="004C2207" w:rsidRPr="001203C7" w:rsidRDefault="004C2207" w:rsidP="001203C7">
      <w:pPr>
        <w:spacing w:line="360" w:lineRule="auto"/>
        <w:ind w:firstLine="709"/>
        <w:jc w:val="both"/>
        <w:rPr>
          <w:rFonts w:ascii="Times New Roman" w:hAnsi="Times New Roman" w:cs="Times New Roman"/>
          <w:sz w:val="28"/>
          <w:szCs w:val="28"/>
          <w:lang w:eastAsia="ko-KR"/>
        </w:rPr>
      </w:pPr>
      <w:r w:rsidRPr="00CF22AE">
        <w:rPr>
          <w:rFonts w:ascii="Times New Roman" w:eastAsia="Calibri" w:hAnsi="Times New Roman" w:cs="Times New Roman"/>
          <w:sz w:val="28"/>
          <w:szCs w:val="28"/>
        </w:rPr>
        <w:t>m</w:t>
      </w:r>
      <w:r w:rsidRPr="00CF22AE">
        <w:rPr>
          <w:rFonts w:ascii="Times New Roman" w:eastAsia="Calibri" w:hAnsi="Times New Roman" w:cs="Times New Roman"/>
          <w:sz w:val="28"/>
          <w:szCs w:val="28"/>
          <w:vertAlign w:val="subscript"/>
        </w:rPr>
        <w:t>2</w:t>
      </w:r>
      <w:r w:rsidRPr="00CF22AE">
        <w:rPr>
          <w:rFonts w:ascii="Times New Roman" w:eastAsia="Calibri" w:hAnsi="Times New Roman" w:cs="Times New Roman"/>
          <w:sz w:val="28"/>
          <w:szCs w:val="28"/>
        </w:rPr>
        <w:t xml:space="preserve"> – маса грану</w:t>
      </w:r>
      <w:r w:rsidR="001203C7">
        <w:rPr>
          <w:rFonts w:ascii="Times New Roman" w:eastAsia="Calibri" w:hAnsi="Times New Roman" w:cs="Times New Roman"/>
          <w:sz w:val="28"/>
          <w:szCs w:val="28"/>
        </w:rPr>
        <w:t>л після випробування , в грамах</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i/>
          <w:sz w:val="28"/>
          <w:szCs w:val="28"/>
        </w:rPr>
        <w:t>Кількісне визначення вмісту гідроксикоричних кислот.</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Визначення вмісту гідроксикоричних кислот у ФППТ ґрунтується на спектрофотометричному методі.</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0,05 г (точну наважку) сухої фітосубстанції поміщали у мірну колбу на 25 мл, додавали 20 % етанол Р до мітки. За необхідності розчин фільтрували через сухий паперовий фільтр в суху колбу (розчин В). В мірну колбу місткістю 25 мл вносили 1 мл розчину В і доводили розчин до мітки 20 % спиртом Р. Оптичну густину отриманого розчину вимірювали на спектрофотометрі </w:t>
      </w:r>
      <w:r w:rsidRPr="00F13630">
        <w:rPr>
          <w:rFonts w:ascii="Times New Roman" w:eastAsia="Calibri" w:hAnsi="Times New Roman" w:cs="Times New Roman"/>
          <w:i/>
          <w:sz w:val="28"/>
          <w:szCs w:val="28"/>
          <w:lang w:val="en-US"/>
        </w:rPr>
        <w:t>Shimadzu</w:t>
      </w:r>
      <w:r w:rsidRPr="00F13630">
        <w:rPr>
          <w:rFonts w:ascii="Times New Roman" w:eastAsia="Calibri" w:hAnsi="Times New Roman" w:cs="Times New Roman"/>
          <w:i/>
          <w:sz w:val="28"/>
          <w:szCs w:val="28"/>
        </w:rPr>
        <w:t xml:space="preserve"> </w:t>
      </w:r>
      <w:r w:rsidRPr="00F13630">
        <w:rPr>
          <w:rFonts w:ascii="Times New Roman" w:eastAsia="Calibri" w:hAnsi="Times New Roman" w:cs="Times New Roman"/>
          <w:i/>
          <w:sz w:val="28"/>
          <w:szCs w:val="28"/>
          <w:lang w:val="en-US"/>
        </w:rPr>
        <w:t>UV</w:t>
      </w:r>
      <w:r>
        <w:rPr>
          <w:rFonts w:ascii="Times New Roman" w:eastAsia="Calibri" w:hAnsi="Times New Roman" w:cs="Times New Roman"/>
          <w:sz w:val="28"/>
          <w:szCs w:val="28"/>
        </w:rPr>
        <w:t xml:space="preserve">-1800 при довжині хвилі 327 нм. Розчин порівняння 20 % спирт Р. </w:t>
      </w:r>
    </w:p>
    <w:p w:rsidR="001203C7" w:rsidRDefault="001203C7" w:rsidP="001203C7">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Вміст гідроксикоричних кислот у перерахунку на кислоту хлорогенову обчислювали за формулою: </w:t>
      </w:r>
    </w:p>
    <w:p w:rsidR="001203C7" w:rsidRDefault="001203C7" w:rsidP="001203C7">
      <w:pPr>
        <w:spacing w:after="0" w:line="360" w:lineRule="auto"/>
        <w:ind w:firstLine="709"/>
        <w:jc w:val="center"/>
        <w:rPr>
          <w:rFonts w:ascii="Times New Roman" w:eastAsia="Calibri" w:hAnsi="Times New Roman" w:cs="Times New Roman"/>
          <w:sz w:val="28"/>
          <w:szCs w:val="28"/>
        </w:rPr>
      </w:pPr>
      <w:r>
        <w:rPr>
          <w:rFonts w:ascii="Times New Roman" w:eastAsia="Calibri" w:hAnsi="Times New Roman" w:cs="Times New Roman"/>
          <w:sz w:val="28"/>
          <w:szCs w:val="28"/>
        </w:rPr>
        <w:t xml:space="preserve">Х= </w:t>
      </w:r>
      <m:oMath>
        <m:r>
          <w:rPr>
            <w:rFonts w:ascii="Cambria Math" w:eastAsia="Calibri" w:hAnsi="Cambria Math" w:cs="Times New Roman"/>
            <w:sz w:val="28"/>
            <w:szCs w:val="28"/>
          </w:rPr>
          <m:t xml:space="preserve"> </m:t>
        </m:r>
        <m:f>
          <m:fPr>
            <m:ctrlPr>
              <w:rPr>
                <w:rFonts w:ascii="Cambria Math" w:eastAsia="Calibri" w:hAnsi="Cambria Math" w:cs="Times New Roman"/>
                <w:i/>
                <w:sz w:val="28"/>
                <w:szCs w:val="28"/>
              </w:rPr>
            </m:ctrlPr>
          </m:fPr>
          <m:num>
            <m:r>
              <m:rPr>
                <m:sty m:val="p"/>
              </m:rPr>
              <w:rPr>
                <w:rFonts w:ascii="Cambria Math" w:eastAsia="Calibri" w:hAnsi="Cambria Math" w:cs="Times New Roman"/>
                <w:sz w:val="28"/>
                <w:szCs w:val="28"/>
              </w:rPr>
              <m:t>А1*25*25*100</m:t>
            </m:r>
          </m:num>
          <m:den>
            <m:r>
              <m:rPr>
                <m:sty m:val="p"/>
              </m:rPr>
              <w:rPr>
                <w:rFonts w:ascii="Cambria Math" w:eastAsia="Calibri" w:hAnsi="Cambria Math" w:cs="Times New Roman"/>
                <w:sz w:val="28"/>
                <w:szCs w:val="28"/>
                <w:vertAlign w:val="subscript"/>
              </w:rPr>
              <m:t xml:space="preserve"> </m:t>
            </m:r>
            <m:r>
              <m:rPr>
                <m:sty m:val="p"/>
              </m:rPr>
              <w:rPr>
                <w:rFonts w:ascii="Cambria Math" w:eastAsia="Calibri" w:hAnsi="Cambria Math" w:cs="Times New Roman"/>
                <w:sz w:val="28"/>
                <w:szCs w:val="28"/>
              </w:rPr>
              <m:t>Е</m:t>
            </m:r>
            <m:r>
              <m:rPr>
                <m:sty m:val="p"/>
              </m:rPr>
              <w:rPr>
                <w:rFonts w:ascii="Cambria Math" w:eastAsia="Calibri" w:hAnsi="Cambria Math" w:cs="Times New Roman"/>
                <w:sz w:val="28"/>
                <w:szCs w:val="28"/>
                <w:vertAlign w:val="superscript"/>
              </w:rPr>
              <m:t>1%</m:t>
            </m:r>
            <m:r>
              <m:rPr>
                <m:sty m:val="p"/>
              </m:rPr>
              <w:rPr>
                <w:rFonts w:ascii="Cambria Math" w:eastAsia="Calibri" w:hAnsi="Cambria Math" w:cs="Times New Roman"/>
                <w:sz w:val="28"/>
                <w:szCs w:val="28"/>
                <w:vertAlign w:val="subscript"/>
              </w:rPr>
              <m:t>1см</m:t>
            </m:r>
            <m:r>
              <m:rPr>
                <m:sty m:val="p"/>
              </m:rPr>
              <w:rPr>
                <w:rFonts w:ascii="Cambria Math" w:eastAsia="Calibri" w:hAnsi="Cambria Math" w:cs="Times New Roman"/>
                <w:sz w:val="28"/>
                <w:szCs w:val="28"/>
              </w:rPr>
              <m:t>*а1*1*</m:t>
            </m:r>
            <m:d>
              <m:dPr>
                <m:ctrlPr>
                  <w:rPr>
                    <w:rFonts w:ascii="Cambria Math" w:eastAsia="Calibri" w:hAnsi="Cambria Math" w:cs="Times New Roman"/>
                    <w:sz w:val="28"/>
                    <w:szCs w:val="28"/>
                  </w:rPr>
                </m:ctrlPr>
              </m:dPr>
              <m:e>
                <m:r>
                  <m:rPr>
                    <m:sty m:val="p"/>
                  </m:rPr>
                  <w:rPr>
                    <w:rFonts w:ascii="Cambria Math" w:eastAsia="Calibri" w:hAnsi="Cambria Math" w:cs="Times New Roman"/>
                    <w:sz w:val="28"/>
                    <w:szCs w:val="28"/>
                  </w:rPr>
                  <m:t>100-W</m:t>
                </m:r>
              </m:e>
            </m:d>
            <m:r>
              <m:rPr>
                <m:sty m:val="p"/>
              </m:rPr>
              <w:rPr>
                <w:rFonts w:ascii="Cambria Math" w:eastAsia="Calibri" w:hAnsi="Cambria Math" w:cs="Times New Roman"/>
                <w:sz w:val="28"/>
                <w:szCs w:val="28"/>
              </w:rPr>
              <m:t xml:space="preserve"> </m:t>
            </m:r>
          </m:den>
        </m:f>
      </m:oMath>
      <w:r w:rsidR="00F13630">
        <w:rPr>
          <w:rFonts w:ascii="Times New Roman" w:eastAsia="Calibri" w:hAnsi="Times New Roman" w:cs="Times New Roman"/>
          <w:sz w:val="28"/>
          <w:szCs w:val="28"/>
        </w:rPr>
        <w:t>,  (2.3</w:t>
      </w:r>
      <w:r>
        <w:rPr>
          <w:rFonts w:ascii="Times New Roman" w:eastAsia="Calibri" w:hAnsi="Times New Roman" w:cs="Times New Roman"/>
          <w:sz w:val="28"/>
          <w:szCs w:val="28"/>
        </w:rPr>
        <w:t>)</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де: А</w:t>
      </w:r>
      <w:r>
        <w:rPr>
          <w:rFonts w:ascii="Times New Roman" w:eastAsia="Calibri" w:hAnsi="Times New Roman" w:cs="Times New Roman"/>
          <w:sz w:val="28"/>
          <w:szCs w:val="28"/>
          <w:vertAlign w:val="subscript"/>
        </w:rPr>
        <w:t>1</w:t>
      </w:r>
      <w:r>
        <w:rPr>
          <w:rFonts w:ascii="Times New Roman" w:eastAsia="Calibri" w:hAnsi="Times New Roman" w:cs="Times New Roman"/>
          <w:sz w:val="28"/>
          <w:szCs w:val="28"/>
        </w:rPr>
        <w:t xml:space="preserve"> – оптична густина досліджуваного розчину;</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а</w:t>
      </w:r>
      <w:r>
        <w:rPr>
          <w:rFonts w:ascii="Times New Roman" w:eastAsia="Calibri" w:hAnsi="Times New Roman" w:cs="Times New Roman"/>
          <w:sz w:val="28"/>
          <w:szCs w:val="28"/>
          <w:vertAlign w:val="subscript"/>
        </w:rPr>
        <w:t>1</w:t>
      </w:r>
      <w:r>
        <w:rPr>
          <w:rFonts w:ascii="Times New Roman" w:eastAsia="Calibri" w:hAnsi="Times New Roman" w:cs="Times New Roman"/>
          <w:sz w:val="28"/>
          <w:szCs w:val="28"/>
        </w:rPr>
        <w:t xml:space="preserve"> – наважка сухої фітосубстанції, г;</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Е</w:t>
      </w:r>
      <w:r>
        <w:rPr>
          <w:rFonts w:ascii="Times New Roman" w:eastAsia="Calibri" w:hAnsi="Times New Roman" w:cs="Times New Roman"/>
          <w:sz w:val="28"/>
          <w:szCs w:val="28"/>
          <w:vertAlign w:val="superscript"/>
        </w:rPr>
        <w:t>1%</w:t>
      </w:r>
      <w:r>
        <w:rPr>
          <w:rFonts w:ascii="Times New Roman" w:eastAsia="Calibri" w:hAnsi="Times New Roman" w:cs="Times New Roman"/>
          <w:sz w:val="28"/>
          <w:szCs w:val="28"/>
          <w:vertAlign w:val="subscript"/>
        </w:rPr>
        <w:t xml:space="preserve">1см </w:t>
      </w:r>
      <w:r>
        <w:rPr>
          <w:rFonts w:ascii="Times New Roman" w:eastAsia="Calibri" w:hAnsi="Times New Roman" w:cs="Times New Roman"/>
          <w:sz w:val="28"/>
          <w:szCs w:val="28"/>
        </w:rPr>
        <w:t>– питомий показник поглинання кислоти хлорогенової (531);</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W – втрата в масі при висушуванні, %.</w:t>
      </w:r>
    </w:p>
    <w:p w:rsidR="001203C7" w:rsidRDefault="001203C7" w:rsidP="001203C7">
      <w:pPr>
        <w:spacing w:after="0" w:line="360" w:lineRule="auto"/>
        <w:ind w:firstLine="709"/>
        <w:jc w:val="both"/>
        <w:rPr>
          <w:rFonts w:ascii="Times New Roman" w:eastAsia="Calibri" w:hAnsi="Times New Roman" w:cs="Times New Roman"/>
          <w:i/>
          <w:iCs/>
          <w:sz w:val="28"/>
          <w:szCs w:val="28"/>
        </w:rPr>
      </w:pPr>
      <w:r>
        <w:rPr>
          <w:rFonts w:ascii="Times New Roman" w:eastAsia="Calibri" w:hAnsi="Times New Roman" w:cs="Times New Roman"/>
          <w:i/>
          <w:iCs/>
          <w:sz w:val="28"/>
          <w:szCs w:val="28"/>
        </w:rPr>
        <w:t xml:space="preserve">Кількісне визначення вмісту суми фенольних сполук у </w:t>
      </w:r>
      <w:r>
        <w:rPr>
          <w:rFonts w:ascii="Times New Roman" w:eastAsia="Calibri" w:hAnsi="Times New Roman" w:cs="Times New Roman"/>
          <w:iCs/>
          <w:sz w:val="28"/>
          <w:szCs w:val="28"/>
        </w:rPr>
        <w:t xml:space="preserve">перерахунку на кислоту галову, визначали спектрофотометричним методом </w:t>
      </w:r>
      <w:r>
        <w:rPr>
          <w:rFonts w:ascii="Times New Roman" w:eastAsia="Calibri" w:hAnsi="Times New Roman" w:cs="Times New Roman"/>
          <w:i/>
          <w:iCs/>
          <w:sz w:val="28"/>
          <w:szCs w:val="28"/>
        </w:rPr>
        <w:t xml:space="preserve">.  </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0,05 г (точну наважку) сухої </w:t>
      </w:r>
      <w:r w:rsidR="00AD4CC7">
        <w:rPr>
          <w:rFonts w:ascii="Times New Roman" w:hAnsi="Times New Roman" w:cs="Times New Roman"/>
          <w:sz w:val="28"/>
          <w:szCs w:val="28"/>
          <w:lang w:eastAsia="ko-KR"/>
        </w:rPr>
        <w:t xml:space="preserve">ФППТ </w:t>
      </w:r>
      <w:r>
        <w:rPr>
          <w:rFonts w:ascii="Times New Roman" w:eastAsia="Calibri" w:hAnsi="Times New Roman" w:cs="Times New Roman"/>
          <w:sz w:val="28"/>
          <w:szCs w:val="28"/>
        </w:rPr>
        <w:t xml:space="preserve">поміщали у мірну колбу на 25 мл, додавали 40 % спирт Р до мітки. За необхідності розчин фільтрували через сухий паперовий фільтр в суху колбу (розчин А). 1,0 мл розчину А вносили у мірну колбу ємністю 25 мл доводили об’ємом 40 % спиртом Р до мітки та перемішували. </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Вимірювали оптичну густину отриманих розчинів при довжині хвилі 290 нм у кюветі з товщиною шару 10 мм. Як розчин порівняння використовували 40 % спирт етиловий Р.</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Вміст суми фенольних сполук  (у %) у сировині у перерахунку на кислоту галову обчислювали за формулою:</w:t>
      </w:r>
    </w:p>
    <w:p w:rsidR="001203C7" w:rsidRDefault="001203C7" w:rsidP="001203C7">
      <w:pPr>
        <w:spacing w:after="0" w:line="360" w:lineRule="auto"/>
        <w:ind w:firstLine="709"/>
        <w:jc w:val="center"/>
        <w:rPr>
          <w:rFonts w:ascii="Times New Roman" w:eastAsia="Calibri" w:hAnsi="Times New Roman" w:cs="Times New Roman"/>
          <w:sz w:val="28"/>
          <w:szCs w:val="28"/>
          <w:lang w:eastAsia="zh-CN"/>
        </w:rPr>
      </w:pPr>
      <w:r>
        <w:rPr>
          <w:rFonts w:ascii="Times New Roman" w:eastAsia="Calibri" w:hAnsi="Times New Roman" w:cs="Times New Roman"/>
          <w:noProof/>
          <w:sz w:val="28"/>
          <w:szCs w:val="28"/>
          <w:lang w:eastAsia="uk-UA"/>
        </w:rPr>
        <w:drawing>
          <wp:inline distT="0" distB="0" distL="0" distR="0">
            <wp:extent cx="1647825" cy="436245"/>
            <wp:effectExtent l="0" t="0" r="9525" b="190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647825" cy="436245"/>
                    </a:xfrm>
                    <a:prstGeom prst="rect">
                      <a:avLst/>
                    </a:prstGeom>
                    <a:noFill/>
                    <a:ln>
                      <a:noFill/>
                    </a:ln>
                  </pic:spPr>
                </pic:pic>
              </a:graphicData>
            </a:graphic>
          </wp:inline>
        </w:drawing>
      </w:r>
      <w:r w:rsidR="00F13630">
        <w:rPr>
          <w:rFonts w:ascii="Times New Roman" w:eastAsia="Calibri" w:hAnsi="Times New Roman" w:cs="Times New Roman"/>
          <w:sz w:val="28"/>
          <w:szCs w:val="28"/>
        </w:rPr>
        <w:t xml:space="preserve"> (2.4</w:t>
      </w:r>
      <w:r>
        <w:rPr>
          <w:rFonts w:ascii="Times New Roman" w:eastAsia="Calibri" w:hAnsi="Times New Roman" w:cs="Times New Roman"/>
          <w:sz w:val="28"/>
          <w:szCs w:val="28"/>
        </w:rPr>
        <w:t>)</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де:</w:t>
      </w:r>
      <w:r>
        <w:rPr>
          <w:rFonts w:ascii="Times New Roman" w:eastAsia="Calibri" w:hAnsi="Times New Roman" w:cs="Times New Roman"/>
          <w:sz w:val="28"/>
          <w:szCs w:val="28"/>
        </w:rPr>
        <w:tab/>
        <w:t>А</w:t>
      </w:r>
      <w:r>
        <w:rPr>
          <w:rFonts w:ascii="Times New Roman" w:eastAsia="Calibri" w:hAnsi="Times New Roman" w:cs="Times New Roman"/>
          <w:sz w:val="28"/>
          <w:szCs w:val="28"/>
          <w:vertAlign w:val="subscript"/>
        </w:rPr>
        <w:t xml:space="preserve">1 </w:t>
      </w:r>
      <w:r>
        <w:rPr>
          <w:rFonts w:ascii="Times New Roman" w:eastAsia="Calibri" w:hAnsi="Times New Roman" w:cs="Times New Roman"/>
          <w:sz w:val="28"/>
          <w:szCs w:val="28"/>
        </w:rPr>
        <w:t>– оптична густина випробуваного розчину;</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ab/>
        <w:t>m – маса наважки, г;</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ab/>
        <w:t>W – вологість сировини, %;</w:t>
      </w:r>
    </w:p>
    <w:p w:rsidR="001203C7" w:rsidRDefault="001203C7" w:rsidP="001203C7">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540 – коефіцієнт питомого поглинання розчину кислоти галової у 40% спирті етиловому.</w:t>
      </w:r>
    </w:p>
    <w:p w:rsidR="00E3509E" w:rsidRDefault="00E3509E">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425A08" w:rsidRPr="00CF22AE" w:rsidRDefault="00425A08" w:rsidP="00C811D9">
      <w:pPr>
        <w:pStyle w:val="a3"/>
        <w:spacing w:line="360" w:lineRule="auto"/>
        <w:ind w:firstLine="709"/>
        <w:jc w:val="center"/>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РОЗДІЛ 3</w:t>
      </w:r>
    </w:p>
    <w:p w:rsidR="00425A08" w:rsidRPr="00CF22AE" w:rsidRDefault="00425A08" w:rsidP="00DB7D0E">
      <w:pPr>
        <w:pStyle w:val="a3"/>
        <w:spacing w:line="360" w:lineRule="auto"/>
        <w:ind w:firstLine="709"/>
        <w:jc w:val="both"/>
        <w:rPr>
          <w:rFonts w:ascii="Times New Roman" w:eastAsia="Times New Roman" w:hAnsi="Times New Roman" w:cs="Times New Roman"/>
          <w:b/>
          <w:sz w:val="28"/>
          <w:szCs w:val="28"/>
        </w:rPr>
      </w:pPr>
    </w:p>
    <w:p w:rsidR="00425A08" w:rsidRPr="00CF22AE" w:rsidRDefault="00425A08" w:rsidP="001203C7">
      <w:pPr>
        <w:pStyle w:val="a3"/>
        <w:spacing w:line="360" w:lineRule="auto"/>
        <w:ind w:firstLine="709"/>
        <w:jc w:val="center"/>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АНАЛІЗ АСОРТИМЕНТУ ГЕПАТОПОТЕКТОРНИХ ЛІКАРСЬКИХ ЗАСОБІВ НА РОСЛИННІЙ ОСНОВІ. РОЗРОБКА СКЛАДУ ТА ТЕХНОЛОГІЇ ТВЕРДОЇ ЛІАРСЬКОЇ ФОРМИ НА ОСНОВІ ФІТОСУБСТАНІЇ ПИРІЮ ПОВЗУЧОГО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3.1 Аналіз асортименту гепатопротекторних лікарських засобів на рослинній основі на фармацевтичному ринку України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 сьогоднішній день існує попит на препарати рослинного походження. Тому першим етапом наших досліджень було вивчити асортимент гепатопротекторних препаратів на основі </w:t>
      </w:r>
      <w:r w:rsidR="007E3477">
        <w:rPr>
          <w:rFonts w:ascii="Times New Roman" w:eastAsia="Times New Roman" w:hAnsi="Times New Roman" w:cs="Times New Roman"/>
          <w:sz w:val="28"/>
          <w:szCs w:val="28"/>
        </w:rPr>
        <w:t>ЛР</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До гепатопротекторних засобів належать ЛП як рослинного так і синтетичного походження. Але оскільки препарати синтетичного походження мають більше побічних ефектів, то з метою зменшення токсичного впливу на організм людини краще використовувати препарати на рослинній основі.</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До ЛЗ на основі рослинної сировини із гепатопротекторною дією належать препарати на основі листя артишоку,плодів розторопші плямистої,  плодів шипшини,моркви дикої плодів, нагідок квітів, трави рутки, чорної редьки, пижма квітки, кукурудзи стовпчики з прий</w:t>
      </w:r>
      <w:r w:rsidR="00F13630">
        <w:rPr>
          <w:rFonts w:ascii="Times New Roman" w:eastAsia="Times New Roman" w:hAnsi="Times New Roman" w:cs="Times New Roman"/>
          <w:sz w:val="28"/>
          <w:szCs w:val="28"/>
        </w:rPr>
        <w:t>мочками, цмину піщаного квіток</w:t>
      </w:r>
      <w:r w:rsidRPr="00CF22AE">
        <w:rPr>
          <w:rFonts w:ascii="Times New Roman" w:eastAsia="Times New Roman" w:hAnsi="Times New Roman" w:cs="Times New Roman"/>
          <w:sz w:val="28"/>
          <w:szCs w:val="28"/>
        </w:rPr>
        <w:t>, ромашки квіток, а також інших рослин.</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Асортимент фітопрепаратів з гепатопротекторною дією на фармацевтичному ринку України вивчали за допомогою Компендіум </w:t>
      </w:r>
      <w:r w:rsidR="004D45D6">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sz w:val="28"/>
          <w:szCs w:val="28"/>
        </w:rPr>
        <w:t xml:space="preserve">довідник </w:t>
      </w:r>
      <w:r w:rsidR="007E3477">
        <w:rPr>
          <w:rFonts w:ascii="Times New Roman" w:eastAsia="Times New Roman" w:hAnsi="Times New Roman" w:cs="Times New Roman"/>
          <w:sz w:val="28"/>
          <w:szCs w:val="28"/>
        </w:rPr>
        <w:t>ЛЗ</w:t>
      </w:r>
      <w:r w:rsidRPr="00CF22AE">
        <w:rPr>
          <w:rFonts w:ascii="Times New Roman" w:eastAsia="Times New Roman" w:hAnsi="Times New Roman" w:cs="Times New Roman"/>
          <w:sz w:val="28"/>
          <w:szCs w:val="28"/>
        </w:rPr>
        <w:t xml:space="preserve"> онлайн та Державний реєстр </w:t>
      </w:r>
      <w:r w:rsidR="007E3477">
        <w:rPr>
          <w:rFonts w:ascii="Times New Roman" w:eastAsia="Times New Roman" w:hAnsi="Times New Roman" w:cs="Times New Roman"/>
          <w:sz w:val="28"/>
          <w:szCs w:val="28"/>
        </w:rPr>
        <w:t>ЛЗ</w:t>
      </w:r>
      <w:r w:rsidR="000617FF">
        <w:rPr>
          <w:rFonts w:ascii="Times New Roman" w:eastAsia="Times New Roman" w:hAnsi="Times New Roman" w:cs="Times New Roman"/>
          <w:sz w:val="28"/>
          <w:szCs w:val="28"/>
        </w:rPr>
        <w:t xml:space="preserve"> України [31, 35</w:t>
      </w:r>
      <w:r w:rsidRPr="00CF22AE">
        <w:rPr>
          <w:rFonts w:ascii="Times New Roman" w:eastAsia="Times New Roman" w:hAnsi="Times New Roman" w:cs="Times New Roman"/>
          <w:sz w:val="28"/>
          <w:szCs w:val="28"/>
        </w:rPr>
        <w:t>]. За даними Держа</w:t>
      </w:r>
      <w:r w:rsidR="001203C7">
        <w:rPr>
          <w:rFonts w:ascii="Times New Roman" w:eastAsia="Times New Roman" w:hAnsi="Times New Roman" w:cs="Times New Roman"/>
          <w:sz w:val="28"/>
          <w:szCs w:val="28"/>
        </w:rPr>
        <w:t>вного реєстру (станом на 15.11.2</w:t>
      </w:r>
      <w:r w:rsidRPr="00CF22AE">
        <w:rPr>
          <w:rFonts w:ascii="Times New Roman" w:eastAsia="Times New Roman" w:hAnsi="Times New Roman" w:cs="Times New Roman"/>
          <w:sz w:val="28"/>
          <w:szCs w:val="28"/>
        </w:rPr>
        <w:t>023) гепатопротекторні препарати на рослинній основі представлені у вигляді 45 асортиментних позицій (АП) та 33 торгових найменувань  (ТН) ЛЗ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Фармацевтичний ринок фітопрепаратів в Україні представлений закордонними (24,4 % ,11 ТН) та вітчизняними препаратами (75,6</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,34 ТН)</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5142060" wp14:editId="602AD4B2">
            <wp:extent cx="5581650" cy="2076450"/>
            <wp:effectExtent l="0" t="0" r="19050" b="19050"/>
            <wp:docPr id="86"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25A08" w:rsidRPr="001B4373" w:rsidRDefault="00425A08" w:rsidP="001B4373">
      <w:pPr>
        <w:pStyle w:val="a3"/>
        <w:ind w:firstLine="709"/>
        <w:jc w:val="both"/>
        <w:rPr>
          <w:rFonts w:ascii="Times New Roman" w:eastAsia="Times New Roman" w:hAnsi="Times New Roman" w:cs="Times New Roman"/>
          <w:b/>
          <w:sz w:val="18"/>
          <w:szCs w:val="18"/>
        </w:rPr>
      </w:pPr>
      <w:r w:rsidRPr="00CF22AE">
        <w:rPr>
          <w:rFonts w:ascii="Times New Roman" w:eastAsia="Times New Roman" w:hAnsi="Times New Roman" w:cs="Times New Roman"/>
          <w:sz w:val="28"/>
          <w:szCs w:val="28"/>
        </w:rPr>
        <w:t>Рис</w:t>
      </w:r>
      <w:r w:rsidR="004C2207"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3.1 </w:t>
      </w:r>
      <w:r w:rsidR="001B4373">
        <w:rPr>
          <w:rFonts w:ascii="Times New Roman" w:eastAsia="Times New Roman" w:hAnsi="Times New Roman" w:cs="Times New Roman"/>
          <w:sz w:val="28"/>
          <w:szCs w:val="28"/>
        </w:rPr>
        <w:t>– С</w:t>
      </w:r>
      <w:r w:rsidRPr="00CF22AE">
        <w:rPr>
          <w:rFonts w:ascii="Times New Roman" w:eastAsia="Times New Roman" w:hAnsi="Times New Roman" w:cs="Times New Roman"/>
          <w:sz w:val="28"/>
          <w:szCs w:val="28"/>
        </w:rPr>
        <w:t>піввідношення закордонних та вітчизняних фітопрепаратів із гепатопротекторними властивостями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Default="00425A08" w:rsidP="00C811D9">
      <w:pPr>
        <w:pStyle w:val="a3"/>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Наступним етапом був розподіл вітчизняних фітопрепаратів в залежності від фірми-виробника ( табл. 3.1.)</w:t>
      </w:r>
    </w:p>
    <w:p w:rsidR="000617FF" w:rsidRPr="00CF22AE" w:rsidRDefault="000617FF" w:rsidP="00C811D9">
      <w:pPr>
        <w:pStyle w:val="a3"/>
        <w:ind w:firstLine="709"/>
        <w:jc w:val="both"/>
        <w:rPr>
          <w:rFonts w:ascii="Times New Roman" w:eastAsia="Times New Roman" w:hAnsi="Times New Roman" w:cs="Times New Roman"/>
          <w:sz w:val="28"/>
          <w:szCs w:val="28"/>
        </w:rPr>
      </w:pPr>
    </w:p>
    <w:p w:rsidR="00425A08" w:rsidRPr="00F13630" w:rsidRDefault="00425A08" w:rsidP="00C811D9">
      <w:pPr>
        <w:pStyle w:val="a3"/>
        <w:ind w:firstLine="709"/>
        <w:jc w:val="both"/>
        <w:rPr>
          <w:rFonts w:ascii="Times New Roman" w:eastAsia="Times New Roman" w:hAnsi="Times New Roman" w:cs="Times New Roman"/>
          <w:sz w:val="28"/>
          <w:szCs w:val="28"/>
        </w:rPr>
      </w:pPr>
      <w:r w:rsidRPr="00F13630">
        <w:rPr>
          <w:rFonts w:ascii="Times New Roman" w:eastAsia="Times New Roman" w:hAnsi="Times New Roman" w:cs="Times New Roman"/>
          <w:sz w:val="28"/>
          <w:szCs w:val="28"/>
        </w:rPr>
        <w:t>Таблиця 3.1</w:t>
      </w:r>
      <w:r w:rsidR="00F13630" w:rsidRPr="00F13630">
        <w:rPr>
          <w:rFonts w:ascii="Times New Roman" w:eastAsia="Times New Roman" w:hAnsi="Times New Roman" w:cs="Times New Roman"/>
          <w:sz w:val="28"/>
          <w:szCs w:val="28"/>
        </w:rPr>
        <w:t xml:space="preserve"> – Розподіл фітопрепаратів за фірмами-виробниками</w:t>
      </w:r>
    </w:p>
    <w:tbl>
      <w:tblPr>
        <w:tblStyle w:val="aa"/>
        <w:tblW w:w="0" w:type="auto"/>
        <w:tblLook w:val="04A0" w:firstRow="1" w:lastRow="0" w:firstColumn="1" w:lastColumn="0" w:noHBand="0" w:noVBand="1"/>
      </w:tblPr>
      <w:tblGrid>
        <w:gridCol w:w="577"/>
        <w:gridCol w:w="5088"/>
        <w:gridCol w:w="1985"/>
        <w:gridCol w:w="1796"/>
      </w:tblGrid>
      <w:tr w:rsidR="00425A08" w:rsidRPr="00A05113" w:rsidTr="004D5249">
        <w:tc>
          <w:tcPr>
            <w:tcW w:w="577" w:type="dxa"/>
            <w:vMerge w:val="restart"/>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 з/п</w:t>
            </w:r>
          </w:p>
        </w:tc>
        <w:tc>
          <w:tcPr>
            <w:tcW w:w="5088" w:type="dxa"/>
            <w:vMerge w:val="restart"/>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Підприємство-виробник</w:t>
            </w:r>
          </w:p>
        </w:tc>
        <w:tc>
          <w:tcPr>
            <w:tcW w:w="3781" w:type="dxa"/>
            <w:gridSpan w:val="2"/>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Кількість торгових назв препаратів</w:t>
            </w:r>
          </w:p>
        </w:tc>
      </w:tr>
      <w:tr w:rsidR="00425A08" w:rsidRPr="00A05113" w:rsidTr="004D5249">
        <w:tc>
          <w:tcPr>
            <w:tcW w:w="0" w:type="auto"/>
            <w:vMerge/>
            <w:tcBorders>
              <w:top w:val="single" w:sz="4" w:space="0" w:color="auto"/>
              <w:left w:val="single" w:sz="4" w:space="0" w:color="auto"/>
              <w:bottom w:val="single" w:sz="4" w:space="0" w:color="auto"/>
              <w:right w:val="single" w:sz="4" w:space="0" w:color="auto"/>
            </w:tcBorders>
            <w:vAlign w:val="center"/>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p>
        </w:tc>
        <w:tc>
          <w:tcPr>
            <w:tcW w:w="1985"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абсолютна</w:t>
            </w:r>
          </w:p>
        </w:tc>
        <w:tc>
          <w:tcPr>
            <w:tcW w:w="1796"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відносна, %</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hideMark/>
          </w:tcPr>
          <w:p w:rsidR="00A05113" w:rsidRDefault="00A05113" w:rsidP="00A05113">
            <w:pPr>
              <w:pStyle w:val="a3"/>
              <w:tabs>
                <w:tab w:val="center" w:pos="180"/>
              </w:tabs>
              <w:rPr>
                <w:rFonts w:ascii="Times New Roman" w:eastAsia="Times New Roman" w:hAnsi="Times New Roman" w:cs="Times New Roman"/>
                <w:spacing w:val="-20"/>
                <w:kern w:val="2"/>
              </w:rPr>
            </w:pPr>
            <w:r>
              <w:rPr>
                <w:rFonts w:ascii="Times New Roman" w:eastAsia="Times New Roman" w:hAnsi="Times New Roman" w:cs="Times New Roman"/>
                <w:spacing w:val="-20"/>
                <w:kern w:val="2"/>
              </w:rPr>
              <w:tab/>
            </w:r>
          </w:p>
          <w:p w:rsidR="00A05113" w:rsidRDefault="00A05113" w:rsidP="00A05113">
            <w:pPr>
              <w:pStyle w:val="a3"/>
              <w:tabs>
                <w:tab w:val="center" w:pos="180"/>
              </w:tabs>
              <w:rPr>
                <w:rFonts w:ascii="Times New Roman" w:eastAsia="Times New Roman" w:hAnsi="Times New Roman" w:cs="Times New Roman"/>
                <w:spacing w:val="-20"/>
                <w:kern w:val="2"/>
              </w:rPr>
            </w:pPr>
          </w:p>
          <w:p w:rsidR="00425A08" w:rsidRPr="00A05113" w:rsidRDefault="00A05113" w:rsidP="00A05113">
            <w:pPr>
              <w:pStyle w:val="a3"/>
              <w:tabs>
                <w:tab w:val="center" w:pos="180"/>
              </w:tabs>
              <w:rPr>
                <w:rFonts w:ascii="Times New Roman" w:eastAsia="Times New Roman" w:hAnsi="Times New Roman" w:cs="Times New Roman"/>
                <w:spacing w:val="-20"/>
                <w:kern w:val="2"/>
              </w:rPr>
            </w:pPr>
            <w:r>
              <w:rPr>
                <w:rFonts w:ascii="Times New Roman" w:eastAsia="Times New Roman" w:hAnsi="Times New Roman" w:cs="Times New Roman"/>
                <w:spacing w:val="-20"/>
                <w:kern w:val="2"/>
              </w:rPr>
              <w:t xml:space="preserve">    </w:t>
            </w:r>
            <w:r w:rsidR="00F13630" w:rsidRPr="00A05113">
              <w:rPr>
                <w:rFonts w:ascii="Times New Roman" w:eastAsia="Times New Roman" w:hAnsi="Times New Roman" w:cs="Times New Roman"/>
                <w:spacing w:val="-20"/>
                <w:kern w:val="2"/>
              </w:rPr>
              <w:t>1</w:t>
            </w:r>
          </w:p>
        </w:tc>
        <w:tc>
          <w:tcPr>
            <w:tcW w:w="5088"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Публічне акціонерне товариство "Науково-виробничий центр "Борщагівський хіміко-фармацевтичний завод"</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rPr>
          <w:trHeight w:val="337"/>
        </w:trPr>
        <w:tc>
          <w:tcPr>
            <w:tcW w:w="577" w:type="dxa"/>
            <w:tcBorders>
              <w:top w:val="single" w:sz="4" w:space="0" w:color="auto"/>
              <w:left w:val="single" w:sz="4" w:space="0" w:color="auto"/>
              <w:bottom w:val="single" w:sz="4" w:space="0" w:color="auto"/>
              <w:right w:val="single" w:sz="4" w:space="0" w:color="auto"/>
            </w:tcBorders>
            <w:hideMark/>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22</w:t>
            </w:r>
          </w:p>
        </w:tc>
        <w:tc>
          <w:tcPr>
            <w:tcW w:w="5088"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 "АСТРАФАРМ"</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hideMark/>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33</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Товариство з обмеженою відповідальністю "Харківське фармацевтичне підприємство "Здоров'я народу"</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hideMark/>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44</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Товариство з обмеженою відповідальністю "Фармацевтична компанія "Здоров'я"</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10</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29,40</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55</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АТ "КИЇВСЬКИЙ ВІТАМІННИЙ ЗАВОД"</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5,88</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66</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 "Тева Україна"</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5,88</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77</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 "Науково-виробнича фармацевтична компанія "ЕЙМ"</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F13630"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88</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ПАТ "Фармак"</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5,88</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A05113"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9</w:t>
            </w:r>
            <w:r w:rsidR="00F13630" w:rsidRPr="00A05113">
              <w:rPr>
                <w:rFonts w:ascii="Times New Roman" w:eastAsia="Times New Roman" w:hAnsi="Times New Roman" w:cs="Times New Roman"/>
                <w:spacing w:val="-20"/>
                <w:kern w:val="2"/>
              </w:rPr>
              <w:t>9</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ПрАТ "Ліктрави"</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14,70</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A05113"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110</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ПрАТ Фармацевтична фабрика "Віола"</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5,88</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A05113" w:rsidP="00A05113">
            <w:pPr>
              <w:pStyle w:val="a3"/>
              <w:jc w:val="center"/>
              <w:rPr>
                <w:rFonts w:ascii="Times New Roman" w:eastAsia="Times New Roman" w:hAnsi="Times New Roman" w:cs="Times New Roman"/>
                <w:spacing w:val="-20"/>
                <w:kern w:val="2"/>
              </w:rPr>
            </w:pPr>
            <w:r>
              <w:rPr>
                <w:rFonts w:ascii="Times New Roman" w:eastAsia="Times New Roman" w:hAnsi="Times New Roman" w:cs="Times New Roman"/>
                <w:spacing w:val="-20"/>
                <w:kern w:val="2"/>
              </w:rPr>
              <w:t>11</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 " ГРАНД СОЛЮШИНС"</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A05113" w:rsidP="00A05113">
            <w:pPr>
              <w:pStyle w:val="a3"/>
              <w:ind w:firstLine="709"/>
              <w:jc w:val="center"/>
              <w:rPr>
                <w:rFonts w:ascii="Times New Roman" w:eastAsia="Times New Roman" w:hAnsi="Times New Roman" w:cs="Times New Roman"/>
                <w:spacing w:val="-20"/>
                <w:kern w:val="2"/>
              </w:rPr>
            </w:pPr>
            <w:r>
              <w:rPr>
                <w:rFonts w:ascii="Times New Roman" w:eastAsia="Times New Roman" w:hAnsi="Times New Roman" w:cs="Times New Roman"/>
                <w:spacing w:val="-20"/>
                <w:kern w:val="2"/>
              </w:rPr>
              <w:t>112</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ПРАТ "ФІТОФАРМ"</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425A08"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r w:rsidR="00A05113">
              <w:rPr>
                <w:rFonts w:ascii="Times New Roman" w:eastAsia="Times New Roman" w:hAnsi="Times New Roman" w:cs="Times New Roman"/>
                <w:spacing w:val="-20"/>
                <w:kern w:val="2"/>
              </w:rPr>
              <w:t>1</w:t>
            </w:r>
            <w:r w:rsidRPr="00A05113">
              <w:rPr>
                <w:rFonts w:ascii="Times New Roman" w:eastAsia="Times New Roman" w:hAnsi="Times New Roman" w:cs="Times New Roman"/>
                <w:spacing w:val="-20"/>
                <w:kern w:val="2"/>
              </w:rPr>
              <w:t>3.</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ПАТ "Хімфармзавод "Червона зірка"</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5,88</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425A08"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r w:rsidR="00A05113">
              <w:rPr>
                <w:rFonts w:ascii="Times New Roman" w:eastAsia="Times New Roman" w:hAnsi="Times New Roman" w:cs="Times New Roman"/>
                <w:spacing w:val="-20"/>
                <w:kern w:val="2"/>
              </w:rPr>
              <w:t>1</w:t>
            </w:r>
            <w:r w:rsidRPr="00A05113">
              <w:rPr>
                <w:rFonts w:ascii="Times New Roman" w:eastAsia="Times New Roman" w:hAnsi="Times New Roman" w:cs="Times New Roman"/>
                <w:spacing w:val="-20"/>
                <w:kern w:val="2"/>
              </w:rPr>
              <w:t>4.</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ПАТ "Київмедпрепарат"</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425A08"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r w:rsidR="00A05113">
              <w:rPr>
                <w:rFonts w:ascii="Times New Roman" w:eastAsia="Times New Roman" w:hAnsi="Times New Roman" w:cs="Times New Roman"/>
                <w:spacing w:val="-20"/>
                <w:kern w:val="2"/>
              </w:rPr>
              <w:t>1</w:t>
            </w:r>
            <w:r w:rsidRPr="00A05113">
              <w:rPr>
                <w:rFonts w:ascii="Times New Roman" w:eastAsia="Times New Roman" w:hAnsi="Times New Roman" w:cs="Times New Roman"/>
                <w:spacing w:val="-20"/>
                <w:kern w:val="2"/>
              </w:rPr>
              <w:t>5.</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АТ "ВІТАМІНИ"</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r w:rsidR="00425A08" w:rsidRPr="00A05113" w:rsidTr="004D5249">
        <w:tc>
          <w:tcPr>
            <w:tcW w:w="577" w:type="dxa"/>
            <w:tcBorders>
              <w:top w:val="single" w:sz="4" w:space="0" w:color="auto"/>
              <w:left w:val="single" w:sz="4" w:space="0" w:color="auto"/>
              <w:bottom w:val="single" w:sz="4" w:space="0" w:color="auto"/>
              <w:right w:val="single" w:sz="4" w:space="0" w:color="auto"/>
            </w:tcBorders>
          </w:tcPr>
          <w:p w:rsidR="00425A08" w:rsidRPr="00A05113" w:rsidRDefault="00425A08" w:rsidP="00A05113">
            <w:pPr>
              <w:pStyle w:val="a3"/>
              <w:ind w:firstLine="709"/>
              <w:jc w:val="center"/>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r w:rsidR="00A05113">
              <w:rPr>
                <w:rFonts w:ascii="Times New Roman" w:eastAsia="Times New Roman" w:hAnsi="Times New Roman" w:cs="Times New Roman"/>
                <w:spacing w:val="-20"/>
                <w:kern w:val="2"/>
              </w:rPr>
              <w:t>1</w:t>
            </w:r>
            <w:r w:rsidRPr="00A05113">
              <w:rPr>
                <w:rFonts w:ascii="Times New Roman" w:eastAsia="Times New Roman" w:hAnsi="Times New Roman" w:cs="Times New Roman"/>
                <w:spacing w:val="-20"/>
                <w:kern w:val="2"/>
              </w:rPr>
              <w:t>6.</w:t>
            </w:r>
          </w:p>
        </w:tc>
        <w:tc>
          <w:tcPr>
            <w:tcW w:w="5088"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ТОВ "Тернофарм"</w:t>
            </w:r>
          </w:p>
        </w:tc>
        <w:tc>
          <w:tcPr>
            <w:tcW w:w="1985"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1</w:t>
            </w:r>
          </w:p>
        </w:tc>
        <w:tc>
          <w:tcPr>
            <w:tcW w:w="1796" w:type="dxa"/>
            <w:tcBorders>
              <w:top w:val="single" w:sz="4" w:space="0" w:color="auto"/>
              <w:left w:val="single" w:sz="4" w:space="0" w:color="auto"/>
              <w:bottom w:val="single" w:sz="4" w:space="0" w:color="auto"/>
              <w:right w:val="single" w:sz="4" w:space="0" w:color="auto"/>
            </w:tcBorders>
          </w:tcPr>
          <w:p w:rsidR="00425A08" w:rsidRPr="00A05113" w:rsidRDefault="00425A08" w:rsidP="00C811D9">
            <w:pPr>
              <w:pStyle w:val="a3"/>
              <w:ind w:firstLine="709"/>
              <w:jc w:val="both"/>
              <w:rPr>
                <w:rFonts w:ascii="Times New Roman" w:eastAsia="Times New Roman" w:hAnsi="Times New Roman" w:cs="Times New Roman"/>
                <w:spacing w:val="-20"/>
                <w:kern w:val="2"/>
              </w:rPr>
            </w:pPr>
            <w:r w:rsidRPr="00A05113">
              <w:rPr>
                <w:rFonts w:ascii="Times New Roman" w:eastAsia="Times New Roman" w:hAnsi="Times New Roman" w:cs="Times New Roman"/>
                <w:spacing w:val="-20"/>
                <w:kern w:val="2"/>
              </w:rPr>
              <w:t>2,94</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Таким чином п</w:t>
      </w:r>
      <w:r w:rsidR="000617FF">
        <w:rPr>
          <w:rFonts w:ascii="Times New Roman" w:eastAsia="Times New Roman" w:hAnsi="Times New Roman" w:cs="Times New Roman"/>
          <w:sz w:val="28"/>
          <w:szCs w:val="28"/>
        </w:rPr>
        <w:t>роаналізувавши дані з табл. 3.1.</w:t>
      </w:r>
      <w:r w:rsidRPr="00CF22AE">
        <w:rPr>
          <w:rFonts w:ascii="Times New Roman" w:eastAsia="Times New Roman" w:hAnsi="Times New Roman" w:cs="Times New Roman"/>
          <w:sz w:val="28"/>
          <w:szCs w:val="28"/>
        </w:rPr>
        <w:t xml:space="preserve"> встановлено, що серед вітчизняних фірм-виробників лідирує Товариство з обмеженою відповідальністю "Фармацевтична компанія "Здоров'я" частка, якої складає 29,40 %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Також додатково проводилися дослідження фармацевтичного ринку імпортних гепатопротекторних фітопрепаратів в залежності від країни виробника (рис 3.2).</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Використовуючи Державний реєстр </w:t>
      </w:r>
      <w:r w:rsidR="007E3477">
        <w:rPr>
          <w:rFonts w:ascii="Times New Roman" w:eastAsia="Times New Roman" w:hAnsi="Times New Roman" w:cs="Times New Roman"/>
          <w:sz w:val="28"/>
          <w:szCs w:val="28"/>
        </w:rPr>
        <w:t>ЛЗ</w:t>
      </w:r>
      <w:r w:rsidRPr="00CF22AE">
        <w:rPr>
          <w:rFonts w:ascii="Times New Roman" w:eastAsia="Times New Roman" w:hAnsi="Times New Roman" w:cs="Times New Roman"/>
          <w:sz w:val="28"/>
          <w:szCs w:val="28"/>
        </w:rPr>
        <w:t>, було проаналізовано кожну країну-виробник за ввезенням гепатопроекторних препаратів на вітчизняний фармацевтичний ринок та визначено їх частки. Постачання іноземних препаратів здійснюється 7 країнами, а лідерами імпорту серед них є Пакистан,Болгарія,Німеччина,Фра</w:t>
      </w:r>
      <w:r w:rsidR="000617FF">
        <w:rPr>
          <w:rFonts w:ascii="Times New Roman" w:eastAsia="Times New Roman" w:hAnsi="Times New Roman" w:cs="Times New Roman"/>
          <w:sz w:val="28"/>
          <w:szCs w:val="28"/>
        </w:rPr>
        <w:t>нція, яким належить по 18,2 % , а</w:t>
      </w:r>
      <w:r w:rsidRPr="00CF22AE">
        <w:rPr>
          <w:rFonts w:ascii="Times New Roman" w:eastAsia="Times New Roman" w:hAnsi="Times New Roman" w:cs="Times New Roman"/>
          <w:sz w:val="28"/>
          <w:szCs w:val="28"/>
        </w:rPr>
        <w:t xml:space="preserve"> Швейцарія, Польща, Австрія займають по 9,1 %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662E97FD" wp14:editId="2489B142">
            <wp:extent cx="5972175" cy="2114550"/>
            <wp:effectExtent l="0" t="0" r="9525" b="19050"/>
            <wp:docPr id="8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3.2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Розподіл імпортних виробників гепатопротекторних препаратів </w:t>
      </w:r>
      <w:r w:rsidR="007E3477">
        <w:rPr>
          <w:rFonts w:ascii="Times New Roman" w:eastAsia="Times New Roman" w:hAnsi="Times New Roman" w:cs="Times New Roman"/>
          <w:sz w:val="28"/>
          <w:szCs w:val="28"/>
        </w:rPr>
        <w:t>ЛЗ</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Далі проводився аналіз гепатопротекторних фітопрепаратів за ЛФ (рис.3.3).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Гепатопротекторні препарати українського виробництва на фармацевтичному ринку у вигляді капсул (24,14 %) та звичайної сировини у пакетиках (24,14 %), на другому місці таблетки з розміром частки (17,24 %), далі йдуть розчини 4 асортиментні позиції , які займають 13,8 %, а решту 20,68 % займають  збори, настойки і сиропи разом.</w:t>
      </w:r>
    </w:p>
    <w:p w:rsidR="00425A08" w:rsidRPr="00CF22AE" w:rsidRDefault="00425A08" w:rsidP="001241BD">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5161FD7A" wp14:editId="37461C9E">
            <wp:extent cx="5806440" cy="2324100"/>
            <wp:effectExtent l="0" t="0" r="3810" b="0"/>
            <wp:docPr id="88"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3.3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Розподіл  гепатопротекторних препаратів за </w:t>
      </w:r>
      <w:r w:rsidR="007E3477">
        <w:rPr>
          <w:rFonts w:ascii="Times New Roman" w:eastAsia="Times New Roman" w:hAnsi="Times New Roman" w:cs="Times New Roman"/>
          <w:sz w:val="28"/>
          <w:szCs w:val="28"/>
        </w:rPr>
        <w:t>ЛФ</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ЛП в залежності від кількості діючих речовин поділяють на одно- , дво- та багатокомпонентні. Тому ми провели аналіз ринку і за цими показниками і в ході досліджень виявили, що більшість фітопрепаратів  гепатопротекторною дією є однокомпонентними (64,44 %) найменша кількість двох компонентних препаратів їх частка складає всього 2,22 % , а на 2 місці багатокомпонентні препарати з часткою 33,33 %.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17C4B770" wp14:editId="70BDF596">
            <wp:extent cx="4562475" cy="2143125"/>
            <wp:effectExtent l="0" t="0" r="9525" b="9525"/>
            <wp:docPr id="89"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25A08" w:rsidRPr="006A213F"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C811D9">
        <w:rPr>
          <w:rFonts w:ascii="Times New Roman" w:eastAsia="Times New Roman" w:hAnsi="Times New Roman" w:cs="Times New Roman"/>
          <w:sz w:val="28"/>
          <w:szCs w:val="28"/>
        </w:rPr>
        <w:t xml:space="preserve"> 3.4</w:t>
      </w:r>
      <w:r w:rsidRPr="00CF22AE">
        <w:rPr>
          <w:rFonts w:ascii="Times New Roman" w:eastAsia="Times New Roman" w:hAnsi="Times New Roman" w:cs="Times New Roman"/>
          <w:sz w:val="28"/>
          <w:szCs w:val="28"/>
        </w:rPr>
        <w:t xml:space="preserve">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Розподіл гепатопротекто</w:t>
      </w:r>
      <w:r w:rsidR="00CB77E2">
        <w:rPr>
          <w:rFonts w:ascii="Times New Roman" w:eastAsia="Times New Roman" w:hAnsi="Times New Roman" w:cs="Times New Roman"/>
          <w:sz w:val="28"/>
          <w:szCs w:val="28"/>
        </w:rPr>
        <w:t>р</w:t>
      </w:r>
      <w:r w:rsidRPr="00CF22AE">
        <w:rPr>
          <w:rFonts w:ascii="Times New Roman" w:eastAsia="Times New Roman" w:hAnsi="Times New Roman" w:cs="Times New Roman"/>
          <w:sz w:val="28"/>
          <w:szCs w:val="28"/>
        </w:rPr>
        <w:t>них пр</w:t>
      </w:r>
      <w:r w:rsidR="00D8082A">
        <w:rPr>
          <w:rFonts w:ascii="Times New Roman" w:eastAsia="Times New Roman" w:hAnsi="Times New Roman" w:cs="Times New Roman"/>
          <w:sz w:val="28"/>
          <w:szCs w:val="28"/>
        </w:rPr>
        <w:t>епаратів за компонентним складо</w:t>
      </w:r>
      <w:r w:rsidR="006A213F">
        <w:rPr>
          <w:rFonts w:ascii="Times New Roman" w:eastAsia="Times New Roman" w:hAnsi="Times New Roman" w:cs="Times New Roman"/>
          <w:sz w:val="28"/>
          <w:szCs w:val="28"/>
        </w:rPr>
        <w:t>м</w:t>
      </w:r>
    </w:p>
    <w:p w:rsidR="00425A08" w:rsidRDefault="00425A08" w:rsidP="00DB7D0E">
      <w:pPr>
        <w:pStyle w:val="a3"/>
        <w:spacing w:line="360" w:lineRule="auto"/>
        <w:ind w:firstLine="709"/>
        <w:jc w:val="both"/>
        <w:rPr>
          <w:rFonts w:ascii="Times New Roman" w:eastAsia="Times New Roman" w:hAnsi="Times New Roman" w:cs="Times New Roman"/>
          <w:sz w:val="28"/>
          <w:szCs w:val="28"/>
        </w:rPr>
      </w:pPr>
    </w:p>
    <w:p w:rsidR="000617FF" w:rsidRDefault="000617FF" w:rsidP="00DB7D0E">
      <w:pPr>
        <w:pStyle w:val="a3"/>
        <w:spacing w:line="360" w:lineRule="auto"/>
        <w:ind w:firstLine="709"/>
        <w:jc w:val="both"/>
        <w:rPr>
          <w:rFonts w:ascii="Times New Roman" w:eastAsia="Times New Roman" w:hAnsi="Times New Roman" w:cs="Times New Roman"/>
          <w:sz w:val="28"/>
          <w:szCs w:val="28"/>
        </w:rPr>
      </w:pPr>
    </w:p>
    <w:p w:rsidR="000617FF" w:rsidRPr="00CF22AE" w:rsidRDefault="000617FF"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3.2 Аналіз ринку фітопрепаратів на основі пирію повзучого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0617FF" w:rsidRDefault="00425A08" w:rsidP="00DB7D0E">
      <w:pPr>
        <w:pStyle w:val="a3"/>
        <w:spacing w:line="360" w:lineRule="auto"/>
        <w:ind w:firstLine="709"/>
        <w:jc w:val="both"/>
        <w:rPr>
          <w:rFonts w:ascii="Times New Roman" w:hAnsi="Times New Roman" w:cs="Times New Roman"/>
          <w:sz w:val="28"/>
          <w:szCs w:val="28"/>
          <w:lang w:val="ru-RU" w:eastAsia="ko-KR"/>
        </w:rPr>
      </w:pPr>
      <w:r w:rsidRPr="00CF22AE">
        <w:rPr>
          <w:rFonts w:ascii="Times New Roman" w:eastAsia="Times New Roman" w:hAnsi="Times New Roman" w:cs="Times New Roman"/>
          <w:sz w:val="28"/>
          <w:szCs w:val="28"/>
        </w:rPr>
        <w:t>Асортимент фітопрепаратів в ск</w:t>
      </w:r>
      <w:r w:rsidR="00DF63B4">
        <w:rPr>
          <w:rFonts w:ascii="Times New Roman" w:eastAsia="Times New Roman" w:hAnsi="Times New Roman" w:cs="Times New Roman"/>
          <w:sz w:val="28"/>
          <w:szCs w:val="28"/>
        </w:rPr>
        <w:t>л</w:t>
      </w:r>
      <w:r w:rsidRPr="00CF22AE">
        <w:rPr>
          <w:rFonts w:ascii="Times New Roman" w:eastAsia="Times New Roman" w:hAnsi="Times New Roman" w:cs="Times New Roman"/>
          <w:sz w:val="28"/>
          <w:szCs w:val="28"/>
        </w:rPr>
        <w:t>аді яких міститься ЛРС пирію повзучого ми в</w:t>
      </w:r>
      <w:r w:rsidR="004D45D6">
        <w:rPr>
          <w:rFonts w:ascii="Times New Roman" w:eastAsia="Times New Roman" w:hAnsi="Times New Roman" w:cs="Times New Roman"/>
          <w:sz w:val="28"/>
          <w:szCs w:val="28"/>
        </w:rPr>
        <w:t xml:space="preserve">ивчали за допомогою Компендіуму </w:t>
      </w:r>
      <w:r w:rsidR="004D45D6">
        <w:rPr>
          <w:rFonts w:ascii="Times New Roman" w:eastAsia="Times New Roman" w:hAnsi="Times New Roman" w:cs="Times New Roman"/>
          <w:sz w:val="28"/>
          <w:szCs w:val="28"/>
          <w:lang w:eastAsia="uk-UA"/>
        </w:rPr>
        <w:t>–</w:t>
      </w:r>
      <w:r w:rsidRPr="00CF22AE">
        <w:rPr>
          <w:rFonts w:ascii="Times New Roman" w:eastAsia="Times New Roman" w:hAnsi="Times New Roman" w:cs="Times New Roman"/>
          <w:sz w:val="28"/>
          <w:szCs w:val="28"/>
        </w:rPr>
        <w:t xml:space="preserve"> це довідник </w:t>
      </w:r>
      <w:r w:rsidR="007E3477">
        <w:rPr>
          <w:rFonts w:ascii="Times New Roman" w:eastAsia="Times New Roman" w:hAnsi="Times New Roman" w:cs="Times New Roman"/>
          <w:sz w:val="28"/>
          <w:szCs w:val="28"/>
        </w:rPr>
        <w:t>ЛЗ</w:t>
      </w:r>
      <w:r w:rsidRPr="00CF22AE">
        <w:rPr>
          <w:rFonts w:ascii="Times New Roman" w:eastAsia="Times New Roman" w:hAnsi="Times New Roman" w:cs="Times New Roman"/>
          <w:sz w:val="28"/>
          <w:szCs w:val="28"/>
        </w:rPr>
        <w:t xml:space="preserve"> онлайн та за Державним реєстром </w:t>
      </w:r>
      <w:r w:rsidR="007E3477">
        <w:rPr>
          <w:rFonts w:ascii="Times New Roman" w:eastAsia="Times New Roman" w:hAnsi="Times New Roman" w:cs="Times New Roman"/>
          <w:sz w:val="28"/>
          <w:szCs w:val="28"/>
        </w:rPr>
        <w:t>ЛЗ</w:t>
      </w:r>
      <w:r w:rsidRPr="00CF22AE">
        <w:rPr>
          <w:rFonts w:ascii="Times New Roman" w:eastAsia="Times New Roman" w:hAnsi="Times New Roman" w:cs="Times New Roman"/>
          <w:sz w:val="28"/>
          <w:szCs w:val="28"/>
        </w:rPr>
        <w:t xml:space="preserve"> України. За даними Державного. реєстру (станом на травень 2023 р.) 16 АП представлено 10 ТН ЛЗ,</w:t>
      </w:r>
      <w:r w:rsidR="000617FF">
        <w:rPr>
          <w:rFonts w:ascii="Times New Roman" w:eastAsia="Times New Roman" w:hAnsi="Times New Roman" w:cs="Times New Roman"/>
          <w:sz w:val="28"/>
          <w:szCs w:val="28"/>
        </w:rPr>
        <w:t xml:space="preserve"> що містять ЛРС пирію повзучого</w:t>
      </w:r>
      <w:r w:rsidR="000617FF" w:rsidRPr="000617FF">
        <w:rPr>
          <w:rFonts w:ascii="Times New Roman" w:eastAsia="Times New Roman" w:hAnsi="Times New Roman" w:cs="Times New Roman"/>
          <w:sz w:val="28"/>
          <w:szCs w:val="28"/>
          <w:lang w:val="ru-RU"/>
        </w:rPr>
        <w:t>[</w:t>
      </w:r>
      <w:r w:rsidR="000617FF">
        <w:rPr>
          <w:rFonts w:ascii="Times New Roman" w:eastAsia="Times New Roman" w:hAnsi="Times New Roman" w:cs="Times New Roman"/>
          <w:sz w:val="28"/>
          <w:szCs w:val="28"/>
          <w:lang w:val="ru-RU"/>
        </w:rPr>
        <w:t>31,35</w:t>
      </w:r>
      <w:r w:rsidR="000617FF" w:rsidRPr="000617FF">
        <w:rPr>
          <w:rFonts w:ascii="Times New Roman" w:eastAsia="Times New Roman" w:hAnsi="Times New Roman" w:cs="Times New Roman"/>
          <w:sz w:val="28"/>
          <w:szCs w:val="28"/>
          <w:lang w:val="ru-RU"/>
        </w:rPr>
        <w:t>]</w:t>
      </w:r>
      <w:r w:rsidR="000617FF">
        <w:rPr>
          <w:rFonts w:ascii="Times New Roman" w:eastAsia="Times New Roman" w:hAnsi="Times New Roman" w:cs="Times New Roman"/>
          <w:sz w:val="28"/>
          <w:szCs w:val="28"/>
          <w:lang w:val="ru-RU"/>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Фармацевтичний ринок фітопрепаратів на основі пирію повзучого представлений вітчизняними (81,25 % ,13 ТН) та закордонними  виробниками (18,75 % , 3 ТН).</w:t>
      </w:r>
    </w:p>
    <w:p w:rsidR="00425A08" w:rsidRPr="00CF22AE" w:rsidRDefault="00425A08" w:rsidP="008E7203">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42837AA5" wp14:editId="4904EF39">
            <wp:extent cx="4352925" cy="2152650"/>
            <wp:effectExtent l="0" t="0" r="9525" b="19050"/>
            <wp:docPr id="90"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3.5.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Співвідношення вітчизняних та іноземних препаратів на основі </w:t>
      </w:r>
      <w:r w:rsidR="007E3477">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Наступним нашим кроком було вивчення розподілення препаратів українського виробництва в залежності від фірми-виробника.</w:t>
      </w:r>
    </w:p>
    <w:p w:rsidR="00425A08" w:rsidRPr="008E7203" w:rsidRDefault="00425A08" w:rsidP="00DB7D0E">
      <w:pPr>
        <w:pStyle w:val="a3"/>
        <w:spacing w:line="360" w:lineRule="auto"/>
        <w:ind w:firstLine="709"/>
        <w:jc w:val="both"/>
        <w:rPr>
          <w:rFonts w:ascii="Times New Roman" w:eastAsia="Times New Roman" w:hAnsi="Times New Roman" w:cs="Times New Roman"/>
          <w:sz w:val="28"/>
          <w:szCs w:val="28"/>
        </w:rPr>
      </w:pPr>
      <w:r w:rsidRPr="008E7203">
        <w:rPr>
          <w:rFonts w:ascii="Times New Roman" w:eastAsia="Times New Roman" w:hAnsi="Times New Roman" w:cs="Times New Roman"/>
          <w:sz w:val="28"/>
          <w:szCs w:val="28"/>
        </w:rPr>
        <w:t>Таблиця 3.2.</w:t>
      </w:r>
      <w:r w:rsidR="008E7203" w:rsidRPr="008E7203">
        <w:rPr>
          <w:rFonts w:ascii="Times New Roman" w:eastAsia="Times New Roman" w:hAnsi="Times New Roman" w:cs="Times New Roman"/>
          <w:sz w:val="28"/>
          <w:szCs w:val="28"/>
        </w:rPr>
        <w:t xml:space="preserve"> – Розподіл препаратів вітчизняного виробництва за фірмами-виробниками</w:t>
      </w:r>
    </w:p>
    <w:tbl>
      <w:tblPr>
        <w:tblStyle w:val="aa"/>
        <w:tblW w:w="0" w:type="auto"/>
        <w:tblLook w:val="04A0" w:firstRow="1" w:lastRow="0" w:firstColumn="1" w:lastColumn="0" w:noHBand="0" w:noVBand="1"/>
      </w:tblPr>
      <w:tblGrid>
        <w:gridCol w:w="756"/>
        <w:gridCol w:w="2899"/>
        <w:gridCol w:w="4250"/>
        <w:gridCol w:w="1949"/>
      </w:tblGrid>
      <w:tr w:rsidR="00425A08" w:rsidRPr="001241BD" w:rsidTr="004D5249">
        <w:trPr>
          <w:trHeight w:val="571"/>
        </w:trPr>
        <w:tc>
          <w:tcPr>
            <w:tcW w:w="756" w:type="dxa"/>
            <w:vMerge w:val="restart"/>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 з/п</w:t>
            </w:r>
          </w:p>
        </w:tc>
        <w:tc>
          <w:tcPr>
            <w:tcW w:w="2899" w:type="dxa"/>
            <w:vMerge w:val="restart"/>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Підприємство-виробник</w:t>
            </w:r>
          </w:p>
        </w:tc>
        <w:tc>
          <w:tcPr>
            <w:tcW w:w="6199" w:type="dxa"/>
            <w:gridSpan w:val="2"/>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Кількість торгових назв препаратів</w:t>
            </w:r>
          </w:p>
        </w:tc>
      </w:tr>
      <w:tr w:rsidR="00425A08" w:rsidRPr="001241BD" w:rsidTr="004D5249">
        <w:tc>
          <w:tcPr>
            <w:tcW w:w="756" w:type="dxa"/>
            <w:vMerge/>
          </w:tcPr>
          <w:p w:rsidR="00425A08" w:rsidRPr="001241BD" w:rsidRDefault="00425A08" w:rsidP="001241BD">
            <w:pPr>
              <w:pStyle w:val="a3"/>
              <w:spacing w:line="240" w:lineRule="atLeast"/>
              <w:jc w:val="both"/>
              <w:rPr>
                <w:rFonts w:ascii="Times New Roman" w:eastAsia="Times New Roman" w:hAnsi="Times New Roman" w:cs="Times New Roman"/>
              </w:rPr>
            </w:pPr>
          </w:p>
        </w:tc>
        <w:tc>
          <w:tcPr>
            <w:tcW w:w="2899" w:type="dxa"/>
            <w:vMerge/>
          </w:tcPr>
          <w:p w:rsidR="00425A08" w:rsidRPr="001241BD" w:rsidRDefault="00425A08" w:rsidP="001241BD">
            <w:pPr>
              <w:pStyle w:val="a3"/>
              <w:spacing w:line="240" w:lineRule="atLeast"/>
              <w:jc w:val="both"/>
              <w:rPr>
                <w:rFonts w:ascii="Times New Roman" w:eastAsia="Times New Roman" w:hAnsi="Times New Roman" w:cs="Times New Roman"/>
              </w:rPr>
            </w:pPr>
          </w:p>
        </w:tc>
        <w:tc>
          <w:tcPr>
            <w:tcW w:w="4250"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Абсолютна</w:t>
            </w:r>
          </w:p>
        </w:tc>
        <w:tc>
          <w:tcPr>
            <w:tcW w:w="1949"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Відносна</w:t>
            </w:r>
          </w:p>
        </w:tc>
      </w:tr>
      <w:tr w:rsidR="00425A08" w:rsidRPr="001241BD" w:rsidTr="004D5249">
        <w:tc>
          <w:tcPr>
            <w:tcW w:w="756"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1</w:t>
            </w:r>
          </w:p>
        </w:tc>
        <w:tc>
          <w:tcPr>
            <w:tcW w:w="2899"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ТОВ «Імунолог»</w:t>
            </w:r>
          </w:p>
        </w:tc>
        <w:tc>
          <w:tcPr>
            <w:tcW w:w="4250"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НЕІНФЕКЦІЙНІ АЛЕРГЕНИ (МІКСТ-АЛЕРГЕНИ) ГРУПИ ПИЛКУ РОСЛИН У ВИГЛЯДІ ДРАЖЕ</w:t>
            </w: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НЕІНФЕКЦІЙНІ АЛЕРГЕНИ ГРУПИ ПИЛКУ РОСЛИН</w:t>
            </w:r>
          </w:p>
        </w:tc>
        <w:tc>
          <w:tcPr>
            <w:tcW w:w="1949"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33</w:t>
            </w:r>
            <w:r w:rsidR="001B4373" w:rsidRPr="001241BD">
              <w:rPr>
                <w:rFonts w:ascii="Times New Roman" w:eastAsia="Times New Roman" w:hAnsi="Times New Roman" w:cs="Times New Roman"/>
              </w:rPr>
              <w:t xml:space="preserve"> </w:t>
            </w:r>
            <w:r w:rsidRPr="001241BD">
              <w:rPr>
                <w:rFonts w:ascii="Times New Roman" w:eastAsia="Times New Roman" w:hAnsi="Times New Roman" w:cs="Times New Roman"/>
              </w:rPr>
              <w:t>%</w:t>
            </w:r>
          </w:p>
        </w:tc>
      </w:tr>
      <w:tr w:rsidR="00425A08" w:rsidRPr="001241BD" w:rsidTr="004D5249">
        <w:tc>
          <w:tcPr>
            <w:tcW w:w="756"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2</w:t>
            </w:r>
          </w:p>
        </w:tc>
        <w:tc>
          <w:tcPr>
            <w:tcW w:w="2899"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АТ «Фармак»</w:t>
            </w:r>
          </w:p>
        </w:tc>
        <w:tc>
          <w:tcPr>
            <w:tcW w:w="4250" w:type="dxa"/>
          </w:tcPr>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УРОНЕФРОН®</w:t>
            </w: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ФІТОЕКСТРАКТ ГУСТИЙ</w:t>
            </w: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ФІТОЕКСТРАКТ ГУСТИЙ (З КОНСЕРВАНТОМ)</w:t>
            </w: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ФІТОЕКСТРАКТ РІДКИЙ</w:t>
            </w: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ФІТОЛІЗИН ПЛЮС</w:t>
            </w:r>
          </w:p>
        </w:tc>
        <w:tc>
          <w:tcPr>
            <w:tcW w:w="1949" w:type="dxa"/>
          </w:tcPr>
          <w:p w:rsidR="00425A08" w:rsidRPr="001241BD" w:rsidRDefault="00425A08" w:rsidP="001241BD">
            <w:pPr>
              <w:pStyle w:val="a3"/>
              <w:spacing w:line="240" w:lineRule="atLeast"/>
              <w:jc w:val="both"/>
              <w:rPr>
                <w:rFonts w:ascii="Times New Roman" w:eastAsia="Times New Roman" w:hAnsi="Times New Roman" w:cs="Times New Roman"/>
              </w:rPr>
            </w:pPr>
          </w:p>
          <w:p w:rsidR="00425A08" w:rsidRPr="001241BD" w:rsidRDefault="00425A08" w:rsidP="001241BD">
            <w:pPr>
              <w:pStyle w:val="a3"/>
              <w:spacing w:line="240" w:lineRule="atLeast"/>
              <w:jc w:val="both"/>
              <w:rPr>
                <w:rFonts w:ascii="Times New Roman" w:eastAsia="Times New Roman" w:hAnsi="Times New Roman" w:cs="Times New Roman"/>
              </w:rPr>
            </w:pPr>
          </w:p>
          <w:p w:rsidR="00425A08" w:rsidRPr="001241BD" w:rsidRDefault="00425A08" w:rsidP="001241BD">
            <w:pPr>
              <w:pStyle w:val="a3"/>
              <w:spacing w:line="240" w:lineRule="atLeast"/>
              <w:jc w:val="both"/>
              <w:rPr>
                <w:rFonts w:ascii="Times New Roman" w:eastAsia="Times New Roman" w:hAnsi="Times New Roman" w:cs="Times New Roman"/>
              </w:rPr>
            </w:pPr>
          </w:p>
          <w:p w:rsidR="00425A08" w:rsidRPr="001241BD" w:rsidRDefault="00425A08" w:rsidP="001241BD">
            <w:pPr>
              <w:pStyle w:val="a3"/>
              <w:spacing w:line="240" w:lineRule="atLeast"/>
              <w:jc w:val="both"/>
              <w:rPr>
                <w:rFonts w:ascii="Times New Roman" w:eastAsia="Times New Roman" w:hAnsi="Times New Roman" w:cs="Times New Roman"/>
              </w:rPr>
            </w:pPr>
            <w:r w:rsidRPr="001241BD">
              <w:rPr>
                <w:rFonts w:ascii="Times New Roman" w:eastAsia="Times New Roman" w:hAnsi="Times New Roman" w:cs="Times New Roman"/>
              </w:rPr>
              <w:t>67</w:t>
            </w:r>
            <w:r w:rsidR="001B4373" w:rsidRPr="001241BD">
              <w:rPr>
                <w:rFonts w:ascii="Times New Roman" w:eastAsia="Times New Roman" w:hAnsi="Times New Roman" w:cs="Times New Roman"/>
              </w:rPr>
              <w:t xml:space="preserve"> </w:t>
            </w:r>
            <w:r w:rsidRPr="001241BD">
              <w:rPr>
                <w:rFonts w:ascii="Times New Roman" w:eastAsia="Times New Roman" w:hAnsi="Times New Roman" w:cs="Times New Roman"/>
              </w:rPr>
              <w:t>%</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Так</w:t>
      </w:r>
      <w:r w:rsidR="008E7203">
        <w:rPr>
          <w:rFonts w:ascii="Times New Roman" w:eastAsia="Times New Roman" w:hAnsi="Times New Roman" w:cs="Times New Roman"/>
          <w:sz w:val="28"/>
          <w:szCs w:val="28"/>
        </w:rPr>
        <w:t>, проаналізувавши дані з табл.</w:t>
      </w:r>
      <w:r w:rsidR="000617FF">
        <w:rPr>
          <w:rFonts w:ascii="Times New Roman" w:eastAsia="Times New Roman" w:hAnsi="Times New Roman" w:cs="Times New Roman"/>
          <w:sz w:val="28"/>
          <w:szCs w:val="28"/>
        </w:rPr>
        <w:t xml:space="preserve"> 3.2.</w:t>
      </w:r>
      <w:r w:rsidRPr="00CF22AE">
        <w:rPr>
          <w:rFonts w:ascii="Times New Roman" w:eastAsia="Times New Roman" w:hAnsi="Times New Roman" w:cs="Times New Roman"/>
          <w:sz w:val="28"/>
          <w:szCs w:val="28"/>
        </w:rPr>
        <w:t xml:space="preserve"> встановлено, </w:t>
      </w:r>
      <w:r w:rsidR="008E720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що серед українських виробників АТ «ФАРМАК» посідає перше місце.</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Додатково ми проводили дослідження імпортних препаратів на основі пирію повзучого в залежності від країни-виробника. Загалом таких країн є дві </w:t>
      </w:r>
      <w:r w:rsidR="004D45D6">
        <w:rPr>
          <w:rFonts w:ascii="Times New Roman" w:eastAsia="Times New Roman" w:hAnsi="Times New Roman" w:cs="Times New Roman"/>
          <w:sz w:val="28"/>
          <w:szCs w:val="28"/>
          <w:lang w:eastAsia="uk-UA"/>
        </w:rPr>
        <w:t>–</w:t>
      </w:r>
      <w:r w:rsidRPr="00CF22AE">
        <w:rPr>
          <w:rFonts w:ascii="Times New Roman" w:eastAsia="Times New Roman" w:hAnsi="Times New Roman" w:cs="Times New Roman"/>
          <w:sz w:val="28"/>
          <w:szCs w:val="28"/>
        </w:rPr>
        <w:t xml:space="preserve"> це Польща та Франція. Польський препарат має назву «Фітолізин», а у Франції є 2 препарати це «концентрат з 9 рослин» та « Сухий екстракт з 9 рослин».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Також ми проводили аналіз ЛЗ на основі пирію повзучого за ЛФ.</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5D5A2B08" wp14:editId="6731BD20">
            <wp:extent cx="5326912" cy="3072809"/>
            <wp:effectExtent l="0" t="0" r="26670" b="13335"/>
            <wp:docPr id="91" name="Диаграмма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3.6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Розподіл препаратів на основі пирію за </w:t>
      </w:r>
      <w:r w:rsidR="007E3477">
        <w:rPr>
          <w:rFonts w:ascii="Times New Roman" w:eastAsia="Times New Roman" w:hAnsi="Times New Roman" w:cs="Times New Roman"/>
          <w:sz w:val="28"/>
          <w:szCs w:val="28"/>
        </w:rPr>
        <w:t>ЛФ</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Серед вітчизняних препаратів найбільшу частку займають екстракти – 46,8 %, інші форми займають по 7,6 %. Серед закордонних виробників немає лідера у ЛФ, адже кожен з 3-х препаратів іноземних виробників має різну ЛФ.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ЛП залежно від кількості діючих речовин можуть бути одно-, дво- чи багатокомпонентні. Усі препарати до складу яких входить сировина пирію повзучого є багатокомпонентними.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Виходячи з вище наведених даних можна помітити, що в Україні не зареєстрованого жодного препарату на основі пирію повзучого у вигляді гранул.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А також немає жодного гепатопротекторного препарату на основі </w:t>
      </w:r>
      <w:r w:rsidR="007E3477">
        <w:rPr>
          <w:rFonts w:ascii="Times New Roman" w:eastAsia="Times New Roman" w:hAnsi="Times New Roman" w:cs="Times New Roman"/>
          <w:sz w:val="28"/>
          <w:szCs w:val="28"/>
        </w:rPr>
        <w:t xml:space="preserve">ФППТ </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3.3 </w:t>
      </w:r>
      <w:r w:rsidRPr="00CF22AE">
        <w:rPr>
          <w:rFonts w:ascii="Times New Roman" w:eastAsia="Times New Roman" w:hAnsi="Times New Roman" w:cs="Times New Roman"/>
          <w:bCs/>
          <w:sz w:val="28"/>
          <w:szCs w:val="28"/>
        </w:rPr>
        <w:t xml:space="preserve">Вибір якісних факторів з метою розробки складу та технології гранул </w:t>
      </w:r>
      <w:r w:rsidRPr="00CF22AE">
        <w:rPr>
          <w:rFonts w:ascii="Times New Roman" w:eastAsia="Times New Roman" w:hAnsi="Times New Roman" w:cs="Times New Roman"/>
          <w:sz w:val="28"/>
          <w:szCs w:val="28"/>
        </w:rPr>
        <w:t>на основі фітосубстанції  пирію повзучого</w:t>
      </w:r>
      <w:r w:rsidR="00425F43">
        <w:rPr>
          <w:rFonts w:ascii="Times New Roman" w:eastAsia="Times New Roman" w:hAnsi="Times New Roman" w:cs="Times New Roman"/>
          <w:sz w:val="28"/>
          <w:szCs w:val="28"/>
        </w:rPr>
        <w:t xml:space="preserve"> трави.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 розробці технології гранул на основі пирію повзучого екстракту густого використовували самостійно отриману фітосубстанцію з даної сировини згідно патен</w:t>
      </w:r>
      <w:r w:rsidR="000617FF">
        <w:rPr>
          <w:rFonts w:ascii="Times New Roman" w:eastAsia="Times New Roman" w:hAnsi="Times New Roman" w:cs="Times New Roman"/>
          <w:sz w:val="28"/>
          <w:szCs w:val="28"/>
        </w:rPr>
        <w:t>ту України на корисну модель [36</w:t>
      </w:r>
      <w:r w:rsidR="008E7203" w:rsidRPr="008E7203">
        <w:rPr>
          <w:rFonts w:ascii="Times New Roman" w:eastAsia="Times New Roman" w:hAnsi="Times New Roman" w:cs="Times New Roman"/>
          <w:sz w:val="28"/>
          <w:szCs w:val="28"/>
          <w:lang w:val="ru-RU"/>
        </w:rPr>
        <w:t>]</w:t>
      </w:r>
      <w:r w:rsidRPr="00CF22AE">
        <w:rPr>
          <w:rFonts w:ascii="Times New Roman" w:eastAsia="Times New Roman" w:hAnsi="Times New Roman" w:cs="Times New Roman"/>
          <w:sz w:val="28"/>
          <w:szCs w:val="28"/>
        </w:rPr>
        <w:t xml:space="preserve">. Для цього сировину (траву пирію повзучого) подрібнювали до розмірів 2-3 мм та екстрагували 70 % етиловим спиртом впродовж 24 год. Після чого сировину знову заливали двічі гарячою водою (t = 96-100 </w:t>
      </w:r>
      <w:r w:rsidRPr="00CF22AE">
        <w:rPr>
          <w:rFonts w:ascii="Times New Roman" w:eastAsia="Times New Roman" w:hAnsi="Times New Roman" w:cs="Times New Roman"/>
          <w:sz w:val="28"/>
          <w:szCs w:val="28"/>
          <w:vertAlign w:val="superscript"/>
        </w:rPr>
        <w:t>0</w:t>
      </w:r>
      <w:r w:rsidRPr="00CF22AE">
        <w:rPr>
          <w:rFonts w:ascii="Times New Roman" w:eastAsia="Times New Roman" w:hAnsi="Times New Roman" w:cs="Times New Roman"/>
          <w:sz w:val="28"/>
          <w:szCs w:val="28"/>
        </w:rPr>
        <w:t xml:space="preserve">C) та проводили екстракцію протягом 2 год. Фільтрували як спиртову так і водну витяжки, об’єднували та згущували при температурі 60 </w:t>
      </w:r>
      <w:r w:rsidRPr="00CF22AE">
        <w:rPr>
          <w:rFonts w:ascii="Times New Roman" w:eastAsia="Times New Roman" w:hAnsi="Times New Roman" w:cs="Times New Roman"/>
          <w:sz w:val="28"/>
          <w:szCs w:val="28"/>
          <w:vertAlign w:val="superscript"/>
        </w:rPr>
        <w:t>0</w:t>
      </w:r>
      <w:r w:rsidRPr="00CF22AE">
        <w:rPr>
          <w:rFonts w:ascii="Times New Roman" w:eastAsia="Times New Roman" w:hAnsi="Times New Roman" w:cs="Times New Roman"/>
          <w:sz w:val="28"/>
          <w:szCs w:val="28"/>
        </w:rPr>
        <w:t>С. Отримана густа фітосубстанція солодка на смак та має приємний специфічний запах (рис. 3.7.).</w:t>
      </w:r>
    </w:p>
    <w:p w:rsidR="00425A08" w:rsidRPr="00CF22AE" w:rsidRDefault="00425A08" w:rsidP="005A475B">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7A31720D" wp14:editId="55F15F79">
            <wp:extent cx="2076450" cy="207645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_5283141058248692773_y (1).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075341" cy="2075341"/>
                    </a:xfrm>
                    <a:prstGeom prst="rect">
                      <a:avLst/>
                    </a:prstGeom>
                  </pic:spPr>
                </pic:pic>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3.7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Фітосубстанції на основі пирію повзучого трави</w:t>
      </w:r>
    </w:p>
    <w:p w:rsidR="005A475B" w:rsidRPr="00CF22AE" w:rsidRDefault="005A475B" w:rsidP="005A475B">
      <w:pPr>
        <w:pStyle w:val="a3"/>
        <w:spacing w:line="360" w:lineRule="auto"/>
        <w:ind w:left="720" w:firstLine="709"/>
        <w:jc w:val="both"/>
        <w:rPr>
          <w:rFonts w:ascii="Times New Roman" w:eastAsia="Times New Roman" w:hAnsi="Times New Roman" w:cs="Times New Roman"/>
          <w:sz w:val="28"/>
          <w:szCs w:val="28"/>
        </w:rPr>
      </w:pPr>
    </w:p>
    <w:p w:rsidR="005A475B" w:rsidRDefault="005A475B" w:rsidP="00690F93">
      <w:pPr>
        <w:pStyle w:val="a3"/>
        <w:spacing w:line="360" w:lineRule="auto"/>
        <w:ind w:left="720"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Також ми отримали екстракт і визначили </w:t>
      </w:r>
      <w:r w:rsidR="00E3509E">
        <w:rPr>
          <w:rFonts w:ascii="Times New Roman" w:eastAsia="Times New Roman" w:hAnsi="Times New Roman" w:cs="Times New Roman"/>
          <w:sz w:val="28"/>
          <w:szCs w:val="28"/>
        </w:rPr>
        <w:t xml:space="preserve">в них кількісний вміст БАР( гідроксикорочні кислоти  </w:t>
      </w:r>
      <w:r w:rsidR="00E3509E" w:rsidRPr="00E3509E">
        <w:rPr>
          <w:rFonts w:ascii="Times New Roman" w:eastAsia="Times New Roman" w:hAnsi="Times New Roman" w:cs="Times New Roman"/>
          <w:sz w:val="28"/>
          <w:szCs w:val="28"/>
        </w:rPr>
        <w:t>[ГКК] флавоноїди, фенольні сполуки)</w:t>
      </w:r>
      <w:r w:rsidR="00690F93">
        <w:rPr>
          <w:rFonts w:ascii="Times New Roman" w:eastAsia="Times New Roman" w:hAnsi="Times New Roman" w:cs="Times New Roman"/>
          <w:sz w:val="28"/>
          <w:szCs w:val="28"/>
        </w:rPr>
        <w:t xml:space="preserve"> , я</w:t>
      </w:r>
      <w:r w:rsidRPr="00CF22AE">
        <w:rPr>
          <w:rFonts w:ascii="Times New Roman" w:eastAsia="Times New Roman" w:hAnsi="Times New Roman" w:cs="Times New Roman"/>
          <w:sz w:val="28"/>
          <w:szCs w:val="28"/>
        </w:rPr>
        <w:t>кі нав</w:t>
      </w:r>
      <w:r>
        <w:rPr>
          <w:rFonts w:ascii="Times New Roman" w:eastAsia="Times New Roman" w:hAnsi="Times New Roman" w:cs="Times New Roman"/>
          <w:sz w:val="28"/>
          <w:szCs w:val="28"/>
        </w:rPr>
        <w:t xml:space="preserve">едені </w:t>
      </w:r>
      <w:r w:rsidR="00690F93">
        <w:rPr>
          <w:rFonts w:ascii="Times New Roman" w:eastAsia="Times New Roman" w:hAnsi="Times New Roman" w:cs="Times New Roman"/>
          <w:sz w:val="28"/>
          <w:szCs w:val="28"/>
        </w:rPr>
        <w:t xml:space="preserve"> в табл. 3.3. </w:t>
      </w:r>
    </w:p>
    <w:p w:rsidR="005A475B" w:rsidRPr="008E7203" w:rsidRDefault="008E7203" w:rsidP="005A475B">
      <w:pPr>
        <w:pStyle w:val="a3"/>
        <w:spacing w:line="360" w:lineRule="auto"/>
        <w:ind w:left="720" w:firstLine="709"/>
        <w:jc w:val="both"/>
        <w:rPr>
          <w:rFonts w:ascii="Times New Roman" w:hAnsi="Times New Roman" w:cs="Times New Roman"/>
          <w:sz w:val="28"/>
          <w:szCs w:val="28"/>
          <w:lang w:eastAsia="ko-KR"/>
        </w:rPr>
      </w:pPr>
      <w:r>
        <w:rPr>
          <w:rFonts w:ascii="Times New Roman" w:hAnsi="Times New Roman" w:cs="Times New Roman"/>
          <w:sz w:val="28"/>
          <w:szCs w:val="28"/>
          <w:lang w:eastAsia="ko-KR"/>
        </w:rPr>
        <w:t>Таблиця 3. 3 – Вміст БАР в ФППТ</w:t>
      </w:r>
    </w:p>
    <w:tbl>
      <w:tblPr>
        <w:tblStyle w:val="aa"/>
        <w:tblW w:w="0" w:type="auto"/>
        <w:jc w:val="center"/>
        <w:tblLook w:val="04A0" w:firstRow="1" w:lastRow="0" w:firstColumn="1" w:lastColumn="0" w:noHBand="0" w:noVBand="1"/>
      </w:tblPr>
      <w:tblGrid>
        <w:gridCol w:w="2463"/>
        <w:gridCol w:w="2464"/>
        <w:gridCol w:w="2464"/>
        <w:gridCol w:w="2464"/>
      </w:tblGrid>
      <w:tr w:rsidR="005A475B" w:rsidRPr="00CF22AE" w:rsidTr="005A475B">
        <w:trPr>
          <w:jc w:val="center"/>
        </w:trPr>
        <w:tc>
          <w:tcPr>
            <w:tcW w:w="2463"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Втрата в масі при висушуванні, %</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Вміст ГКК в перерахунку на кислоту хлорогенову, %</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Вміст фенольних сполук у перерахунку на кислоту галову, %</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Вміст флавоноїдів у перерахунку на рутин, %</w:t>
            </w:r>
          </w:p>
        </w:tc>
      </w:tr>
      <w:tr w:rsidR="005A475B" w:rsidRPr="00CF22AE" w:rsidTr="005A475B">
        <w:trPr>
          <w:jc w:val="center"/>
        </w:trPr>
        <w:tc>
          <w:tcPr>
            <w:tcW w:w="2463"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1,1</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2,28</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0,58</w:t>
            </w:r>
          </w:p>
        </w:tc>
        <w:tc>
          <w:tcPr>
            <w:tcW w:w="2464" w:type="dxa"/>
          </w:tcPr>
          <w:p w:rsidR="005A475B" w:rsidRPr="00C811D9" w:rsidRDefault="005A475B" w:rsidP="00536402">
            <w:pPr>
              <w:pStyle w:val="a3"/>
              <w:ind w:firstLine="709"/>
              <w:jc w:val="both"/>
              <w:rPr>
                <w:rFonts w:ascii="Times New Roman" w:eastAsia="Times New Roman" w:hAnsi="Times New Roman" w:cs="Times New Roman"/>
                <w:sz w:val="28"/>
                <w:szCs w:val="28"/>
              </w:rPr>
            </w:pPr>
            <w:r w:rsidRPr="00C811D9">
              <w:rPr>
                <w:rFonts w:ascii="Times New Roman" w:eastAsia="Times New Roman" w:hAnsi="Times New Roman" w:cs="Times New Roman"/>
                <w:sz w:val="28"/>
                <w:szCs w:val="28"/>
              </w:rPr>
              <w:t>2,52</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690F93" w:rsidRDefault="00425A08" w:rsidP="00DB7D0E">
      <w:pPr>
        <w:pStyle w:val="a3"/>
        <w:spacing w:line="360" w:lineRule="auto"/>
        <w:ind w:firstLine="709"/>
        <w:jc w:val="both"/>
        <w:rPr>
          <w:rFonts w:ascii="Times New Roman" w:hAnsi="Times New Roman" w:cs="Times New Roman"/>
          <w:sz w:val="28"/>
          <w:szCs w:val="28"/>
          <w:lang w:eastAsia="ko-KR"/>
        </w:rPr>
      </w:pPr>
      <w:r w:rsidRPr="00CF22AE">
        <w:rPr>
          <w:rFonts w:ascii="Times New Roman" w:eastAsia="Times New Roman" w:hAnsi="Times New Roman" w:cs="Times New Roman"/>
          <w:sz w:val="28"/>
          <w:szCs w:val="28"/>
        </w:rPr>
        <w:t>Також науковцями, проф. Марчишин С.М. та Калушкою О.Б. було встановлено гепатопротекторну дію фармакологічної активної субстанції із трави пирію повзучого, що склала у дозі 150 мг/кг.</w:t>
      </w:r>
      <w:r w:rsidR="00690F93">
        <w:rPr>
          <w:rFonts w:ascii="Times New Roman" w:eastAsia="Times New Roman" w:hAnsi="Times New Roman" w:cs="Times New Roman"/>
          <w:sz w:val="28"/>
          <w:szCs w:val="28"/>
        </w:rPr>
        <w:t xml:space="preserve"> </w:t>
      </w:r>
      <w:r w:rsidR="00690F93" w:rsidRPr="003774AB">
        <w:rPr>
          <w:rFonts w:ascii="Times New Roman" w:eastAsia="Times New Roman" w:hAnsi="Times New Roman" w:cs="Times New Roman"/>
          <w:sz w:val="28"/>
          <w:szCs w:val="28"/>
          <w:lang w:val="ru-RU"/>
        </w:rPr>
        <w:t>[</w:t>
      </w:r>
      <w:r w:rsidR="00690F93">
        <w:rPr>
          <w:rFonts w:ascii="Times New Roman" w:eastAsia="Times New Roman" w:hAnsi="Times New Roman" w:cs="Times New Roman"/>
          <w:sz w:val="28"/>
          <w:szCs w:val="28"/>
        </w:rPr>
        <w:t>37</w:t>
      </w:r>
      <w:r w:rsidR="00690F93" w:rsidRPr="003774AB">
        <w:rPr>
          <w:rFonts w:ascii="Times New Roman" w:eastAsia="Times New Roman" w:hAnsi="Times New Roman" w:cs="Times New Roman"/>
          <w:sz w:val="28"/>
          <w:szCs w:val="28"/>
          <w:lang w:val="ru-RU"/>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 проведених розрахунках було вирі</w:t>
      </w:r>
      <w:r w:rsidR="00E3509E">
        <w:rPr>
          <w:rFonts w:ascii="Times New Roman" w:eastAsia="Times New Roman" w:hAnsi="Times New Roman" w:cs="Times New Roman"/>
          <w:sz w:val="28"/>
          <w:szCs w:val="28"/>
        </w:rPr>
        <w:t>шено вводити</w:t>
      </w:r>
      <w:r w:rsidRPr="00CF22AE">
        <w:rPr>
          <w:rFonts w:ascii="Times New Roman" w:eastAsia="Times New Roman" w:hAnsi="Times New Roman" w:cs="Times New Roman"/>
          <w:sz w:val="28"/>
          <w:szCs w:val="28"/>
        </w:rPr>
        <w:t xml:space="preserve"> 0,625 г </w:t>
      </w:r>
      <w:r w:rsidR="00E3509E">
        <w:rPr>
          <w:rFonts w:ascii="Times New Roman" w:eastAsia="Times New Roman" w:hAnsi="Times New Roman" w:cs="Times New Roman"/>
          <w:sz w:val="28"/>
          <w:szCs w:val="28"/>
        </w:rPr>
        <w:t xml:space="preserve"> на кожні 5 г гранул з </w:t>
      </w:r>
      <w:r w:rsidRPr="00CF22AE">
        <w:rPr>
          <w:rFonts w:ascii="Times New Roman" w:eastAsia="Times New Roman" w:hAnsi="Times New Roman" w:cs="Times New Roman"/>
          <w:sz w:val="28"/>
          <w:szCs w:val="28"/>
        </w:rPr>
        <w:t>фітосубстанції на основі трави пирію повзучого.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Нами було використано при отримані гранул на </w:t>
      </w:r>
      <w:r w:rsidR="007E3477">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ДР, які відповідають вимогам ДФУ і забезпечують виконання всіх фармако-технологічних показників якості гранульованих препаратів. В експерименті  були використані дев’ять екципієнтів вітчизняного та зарубіжного виробництва.</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 розробці рецептури гранул кількість д</w:t>
      </w:r>
      <w:r w:rsidR="00E3509E">
        <w:rPr>
          <w:rFonts w:ascii="Times New Roman" w:eastAsia="Times New Roman" w:hAnsi="Times New Roman" w:cs="Times New Roman"/>
          <w:sz w:val="28"/>
          <w:szCs w:val="28"/>
        </w:rPr>
        <w:t xml:space="preserve">іючих та ДР в п’яти грамах </w:t>
      </w:r>
      <w:r w:rsidRPr="00CF22AE">
        <w:rPr>
          <w:rFonts w:ascii="Times New Roman" w:eastAsia="Times New Roman" w:hAnsi="Times New Roman" w:cs="Times New Roman"/>
          <w:sz w:val="28"/>
          <w:szCs w:val="28"/>
        </w:rPr>
        <w:t>наведено нижче (г</w:t>
      </w:r>
      <w:r w:rsidR="00E3509E">
        <w:rPr>
          <w:rFonts w:ascii="Times New Roman" w:eastAsia="Times New Roman" w:hAnsi="Times New Roman" w:cs="Times New Roman"/>
          <w:sz w:val="28"/>
          <w:szCs w:val="28"/>
        </w:rPr>
        <w:t>, %</w:t>
      </w:r>
      <w:r w:rsidRPr="00CF22AE">
        <w:rPr>
          <w:rFonts w:ascii="Times New Roman" w:eastAsia="Times New Roman" w:hAnsi="Times New Roman" w:cs="Times New Roman"/>
          <w:sz w:val="28"/>
          <w:szCs w:val="28"/>
        </w:rPr>
        <w:t>):</w:t>
      </w: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87"/>
        <w:gridCol w:w="2742"/>
        <w:gridCol w:w="2742"/>
      </w:tblGrid>
      <w:tr w:rsidR="00425A08" w:rsidRPr="00CF22AE" w:rsidTr="004D5249">
        <w:tc>
          <w:tcPr>
            <w:tcW w:w="4087" w:type="dxa"/>
          </w:tcPr>
          <w:p w:rsidR="00425A08" w:rsidRPr="00CF22AE" w:rsidRDefault="007E3477" w:rsidP="00CF40DB">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ФППТ</w:t>
            </w:r>
            <w:r w:rsidR="00425A08" w:rsidRPr="00CF22AE">
              <w:rPr>
                <w:rFonts w:ascii="Times New Roman" w:eastAsia="Times New Roman" w:hAnsi="Times New Roman" w:cs="Times New Roman"/>
                <w:sz w:val="28"/>
                <w:szCs w:val="28"/>
              </w:rPr>
              <w:t xml:space="preserve"> </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0,625г</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12,5 %</w:t>
            </w:r>
          </w:p>
        </w:tc>
      </w:tr>
      <w:tr w:rsidR="00425A08" w:rsidRPr="00CF22AE" w:rsidTr="004D5249">
        <w:tc>
          <w:tcPr>
            <w:tcW w:w="4087"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Наповнювач (фактор А) </w:t>
            </w:r>
            <w:r w:rsidRPr="00CF22AE">
              <w:rPr>
                <w:rFonts w:ascii="Times New Roman" w:eastAsia="Times New Roman" w:hAnsi="Times New Roman" w:cs="Times New Roman"/>
                <w:sz w:val="28"/>
                <w:szCs w:val="28"/>
              </w:rPr>
              <w:tab/>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3,475 г</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69,5 %</w:t>
            </w:r>
          </w:p>
        </w:tc>
      </w:tr>
      <w:tr w:rsidR="00425A08" w:rsidRPr="00CF22AE" w:rsidTr="004D5249">
        <w:tc>
          <w:tcPr>
            <w:tcW w:w="4087"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Розпушувач (фактор В) </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0,75 г</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15,0 %</w:t>
            </w:r>
          </w:p>
        </w:tc>
      </w:tr>
      <w:tr w:rsidR="00425A08" w:rsidRPr="00CF22AE" w:rsidTr="004D5249">
        <w:tc>
          <w:tcPr>
            <w:tcW w:w="4087"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Ковзні речовини (фактор С) </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0,15 г</w:t>
            </w:r>
          </w:p>
        </w:tc>
        <w:tc>
          <w:tcPr>
            <w:tcW w:w="2742" w:type="dxa"/>
          </w:tcPr>
          <w:p w:rsidR="00425A08" w:rsidRPr="00CF22AE" w:rsidRDefault="00425A08" w:rsidP="00CF40DB">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3,0 %</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 виборі оптимальн</w:t>
      </w:r>
      <w:r w:rsidR="00982F04">
        <w:rPr>
          <w:rFonts w:ascii="Times New Roman" w:eastAsia="Times New Roman" w:hAnsi="Times New Roman" w:cs="Times New Roman"/>
          <w:sz w:val="28"/>
          <w:szCs w:val="28"/>
        </w:rPr>
        <w:t xml:space="preserve">их ДР </w:t>
      </w:r>
      <w:r w:rsidRPr="00CF22AE">
        <w:rPr>
          <w:rFonts w:ascii="Times New Roman" w:eastAsia="Times New Roman" w:hAnsi="Times New Roman" w:cs="Times New Roman"/>
          <w:sz w:val="28"/>
          <w:szCs w:val="28"/>
        </w:rPr>
        <w:t xml:space="preserve"> і розробки технології гранул на основі </w:t>
      </w:r>
      <w:r w:rsidR="007E3477">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було використано один із методів МПЕ та досліджували вплив дев’яти ДР на фармако-технологічні властивості гранул. Дані екципієнти були поділені на три групи (фактори): наповнювачі, розпушувачі  та ковзні речовини.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Для вивчення впливу даних факторів і їх рівнів на фармако-технологічні властивості гранул було використано трьох факторний експеримент на основі 3х3 латинського квадрату.</w:t>
      </w:r>
    </w:p>
    <w:p w:rsidR="00690F93"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Перелік ДР (факторів), які вивчалися при розробці гранул на основі </w:t>
      </w:r>
      <w:r w:rsidR="007E3477">
        <w:rPr>
          <w:rFonts w:ascii="Times New Roman" w:eastAsia="Times New Roman" w:hAnsi="Times New Roman" w:cs="Times New Roman"/>
          <w:sz w:val="28"/>
          <w:szCs w:val="28"/>
        </w:rPr>
        <w:t>ФППТ</w:t>
      </w:r>
      <w:r w:rsidR="008E7203">
        <w:rPr>
          <w:rFonts w:ascii="Times New Roman" w:eastAsia="Times New Roman" w:hAnsi="Times New Roman" w:cs="Times New Roman"/>
          <w:sz w:val="28"/>
          <w:szCs w:val="28"/>
        </w:rPr>
        <w:t>, наведено в табл. 3.4</w:t>
      </w:r>
      <w:r w:rsidRPr="00CF22AE">
        <w:rPr>
          <w:rFonts w:ascii="Times New Roman" w:eastAsia="Times New Roman" w:hAnsi="Times New Roman" w:cs="Times New Roman"/>
          <w:sz w:val="28"/>
          <w:szCs w:val="28"/>
        </w:rPr>
        <w:t>.</w:t>
      </w:r>
    </w:p>
    <w:p w:rsidR="00690F93" w:rsidRDefault="00690F9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8E7203" w:rsidRDefault="008E7203" w:rsidP="008E7203">
      <w:pPr>
        <w:pStyle w:val="a3"/>
        <w:spacing w:line="360" w:lineRule="auto"/>
        <w:ind w:firstLine="709"/>
        <w:jc w:val="both"/>
        <w:rPr>
          <w:rFonts w:ascii="Times New Roman" w:eastAsia="Times New Roman" w:hAnsi="Times New Roman" w:cs="Times New Roman"/>
          <w:sz w:val="28"/>
          <w:szCs w:val="28"/>
        </w:rPr>
      </w:pPr>
      <w:r w:rsidRPr="008E7203">
        <w:rPr>
          <w:rFonts w:ascii="Times New Roman" w:eastAsia="Times New Roman" w:hAnsi="Times New Roman" w:cs="Times New Roman"/>
          <w:sz w:val="28"/>
          <w:szCs w:val="28"/>
        </w:rPr>
        <w:t>Таблиця 3.4</w:t>
      </w:r>
      <w:r>
        <w:rPr>
          <w:rFonts w:ascii="Times New Roman" w:eastAsia="Times New Roman" w:hAnsi="Times New Roman" w:cs="Times New Roman"/>
          <w:sz w:val="28"/>
          <w:szCs w:val="28"/>
        </w:rPr>
        <w:t xml:space="preserve">. </w:t>
      </w:r>
      <w:r w:rsidRPr="008E7203">
        <w:rPr>
          <w:rFonts w:ascii="Times New Roman" w:eastAsia="Times New Roman" w:hAnsi="Times New Roman" w:cs="Times New Roman"/>
          <w:sz w:val="28"/>
          <w:szCs w:val="28"/>
        </w:rPr>
        <w:t xml:space="preserve"> – </w:t>
      </w:r>
      <w:r w:rsidR="00425A08" w:rsidRPr="008E7203">
        <w:rPr>
          <w:rFonts w:ascii="Times New Roman" w:eastAsia="Times New Roman" w:hAnsi="Times New Roman" w:cs="Times New Roman"/>
          <w:sz w:val="28"/>
          <w:szCs w:val="28"/>
        </w:rPr>
        <w:t>Допоміжні речовини, що вивчалися при розробці гранул на основі фітосубстанції пирію повзучого трави</w:t>
      </w:r>
    </w:p>
    <w:tbl>
      <w:tblPr>
        <w:tblStyle w:val="aa"/>
        <w:tblW w:w="10173" w:type="dxa"/>
        <w:tblLook w:val="04A0" w:firstRow="1" w:lastRow="0" w:firstColumn="1" w:lastColumn="0" w:noHBand="0" w:noVBand="1"/>
      </w:tblPr>
      <w:tblGrid>
        <w:gridCol w:w="4361"/>
        <w:gridCol w:w="5812"/>
      </w:tblGrid>
      <w:tr w:rsidR="00425A08" w:rsidRPr="008E7203" w:rsidTr="004D5249">
        <w:tc>
          <w:tcPr>
            <w:tcW w:w="4361" w:type="dxa"/>
            <w:tcBorders>
              <w:top w:val="single" w:sz="4" w:space="0" w:color="auto"/>
              <w:left w:val="single" w:sz="4" w:space="0" w:color="auto"/>
              <w:bottom w:val="single" w:sz="4" w:space="0" w:color="auto"/>
              <w:right w:val="single" w:sz="4" w:space="0" w:color="auto"/>
            </w:tcBorders>
            <w:hideMark/>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Фактор</w:t>
            </w:r>
          </w:p>
        </w:tc>
        <w:tc>
          <w:tcPr>
            <w:tcW w:w="5812" w:type="dxa"/>
            <w:tcBorders>
              <w:top w:val="single" w:sz="4" w:space="0" w:color="auto"/>
              <w:left w:val="single" w:sz="4" w:space="0" w:color="auto"/>
              <w:bottom w:val="single" w:sz="4" w:space="0" w:color="auto"/>
              <w:right w:val="single" w:sz="4" w:space="0" w:color="auto"/>
            </w:tcBorders>
            <w:hideMark/>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Рівень фактора</w:t>
            </w:r>
          </w:p>
        </w:tc>
      </w:tr>
      <w:tr w:rsidR="00425A08" w:rsidRPr="008E7203" w:rsidTr="004D5249">
        <w:tc>
          <w:tcPr>
            <w:tcW w:w="4361" w:type="dxa"/>
            <w:tcBorders>
              <w:top w:val="single" w:sz="4" w:space="0" w:color="auto"/>
              <w:left w:val="single" w:sz="4" w:space="0" w:color="auto"/>
              <w:bottom w:val="single" w:sz="4" w:space="0" w:color="auto"/>
              <w:right w:val="single" w:sz="4" w:space="0" w:color="auto"/>
            </w:tcBorders>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i/>
                <w:sz w:val="20"/>
                <w:szCs w:val="20"/>
              </w:rPr>
              <w:t>А</w:t>
            </w:r>
            <w:r w:rsidRPr="008E7203">
              <w:rPr>
                <w:rFonts w:ascii="Times New Roman" w:eastAsia="Times New Roman" w:hAnsi="Times New Roman" w:cs="Times New Roman"/>
                <w:sz w:val="20"/>
                <w:szCs w:val="20"/>
              </w:rPr>
              <w:t xml:space="preserve"> – наповнювачі</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p>
        </w:tc>
        <w:tc>
          <w:tcPr>
            <w:tcW w:w="5812" w:type="dxa"/>
            <w:tcBorders>
              <w:top w:val="single" w:sz="4" w:space="0" w:color="auto"/>
              <w:left w:val="single" w:sz="4" w:space="0" w:color="auto"/>
              <w:bottom w:val="single" w:sz="4" w:space="0" w:color="auto"/>
              <w:right w:val="single" w:sz="4" w:space="0" w:color="auto"/>
            </w:tcBorders>
            <w:hideMark/>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a</w:t>
            </w:r>
            <w:r w:rsidRPr="008E7203">
              <w:rPr>
                <w:rFonts w:ascii="Times New Roman" w:eastAsia="Times New Roman" w:hAnsi="Times New Roman" w:cs="Times New Roman"/>
                <w:sz w:val="20"/>
                <w:szCs w:val="20"/>
                <w:vertAlign w:val="subscript"/>
              </w:rPr>
              <w:t>1</w:t>
            </w:r>
            <w:r w:rsidRPr="008E7203">
              <w:rPr>
                <w:rFonts w:ascii="Times New Roman" w:eastAsia="Times New Roman" w:hAnsi="Times New Roman" w:cs="Times New Roman"/>
                <w:sz w:val="20"/>
                <w:szCs w:val="20"/>
              </w:rPr>
              <w:t xml:space="preserve"> – МКЦ 200 + лактоза (1:1)</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a</w:t>
            </w:r>
            <w:r w:rsidRPr="008E7203">
              <w:rPr>
                <w:rFonts w:ascii="Times New Roman" w:eastAsia="Times New Roman" w:hAnsi="Times New Roman" w:cs="Times New Roman"/>
                <w:sz w:val="20"/>
                <w:szCs w:val="20"/>
                <w:vertAlign w:val="subscript"/>
              </w:rPr>
              <w:t>2</w:t>
            </w:r>
            <w:r w:rsidRPr="008E7203">
              <w:rPr>
                <w:rFonts w:ascii="Times New Roman" w:eastAsia="Times New Roman" w:hAnsi="Times New Roman" w:cs="Times New Roman"/>
                <w:sz w:val="20"/>
                <w:szCs w:val="20"/>
              </w:rPr>
              <w:t xml:space="preserve"> – МКЦ 101+ лактоза (1:1)</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a</w:t>
            </w:r>
            <w:r w:rsidRPr="008E7203">
              <w:rPr>
                <w:rFonts w:ascii="Times New Roman" w:eastAsia="Times New Roman" w:hAnsi="Times New Roman" w:cs="Times New Roman"/>
                <w:sz w:val="20"/>
                <w:szCs w:val="20"/>
                <w:vertAlign w:val="subscript"/>
              </w:rPr>
              <w:t>3</w:t>
            </w:r>
            <w:r w:rsidRPr="008E7203">
              <w:rPr>
                <w:rFonts w:ascii="Times New Roman" w:eastAsia="Times New Roman" w:hAnsi="Times New Roman" w:cs="Times New Roman"/>
                <w:sz w:val="20"/>
                <w:szCs w:val="20"/>
              </w:rPr>
              <w:t xml:space="preserve"> – лактоза</w:t>
            </w:r>
          </w:p>
        </w:tc>
      </w:tr>
      <w:tr w:rsidR="00425A08" w:rsidRPr="008E7203" w:rsidTr="004D5249">
        <w:tc>
          <w:tcPr>
            <w:tcW w:w="4361" w:type="dxa"/>
            <w:tcBorders>
              <w:top w:val="single" w:sz="4" w:space="0" w:color="auto"/>
              <w:left w:val="single" w:sz="4" w:space="0" w:color="auto"/>
              <w:bottom w:val="single" w:sz="4" w:space="0" w:color="auto"/>
              <w:right w:val="single" w:sz="4" w:space="0" w:color="auto"/>
            </w:tcBorders>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i/>
                <w:sz w:val="20"/>
                <w:szCs w:val="20"/>
              </w:rPr>
              <w:t>В</w:t>
            </w:r>
            <w:r w:rsidRPr="008E7203">
              <w:rPr>
                <w:rFonts w:ascii="Times New Roman" w:eastAsia="Times New Roman" w:hAnsi="Times New Roman" w:cs="Times New Roman"/>
                <w:sz w:val="20"/>
                <w:szCs w:val="20"/>
              </w:rPr>
              <w:t xml:space="preserve"> – розпушувачі</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p>
        </w:tc>
        <w:tc>
          <w:tcPr>
            <w:tcW w:w="5812" w:type="dxa"/>
            <w:tcBorders>
              <w:top w:val="single" w:sz="4" w:space="0" w:color="auto"/>
              <w:left w:val="single" w:sz="4" w:space="0" w:color="auto"/>
              <w:bottom w:val="single" w:sz="4" w:space="0" w:color="auto"/>
              <w:right w:val="single" w:sz="4" w:space="0" w:color="auto"/>
            </w:tcBorders>
            <w:hideMark/>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b</w:t>
            </w:r>
            <w:r w:rsidRPr="008E7203">
              <w:rPr>
                <w:rFonts w:ascii="Times New Roman" w:eastAsia="Times New Roman" w:hAnsi="Times New Roman" w:cs="Times New Roman"/>
                <w:sz w:val="20"/>
                <w:szCs w:val="20"/>
                <w:vertAlign w:val="subscript"/>
              </w:rPr>
              <w:t>1</w:t>
            </w:r>
            <w:r w:rsidRPr="008E7203">
              <w:rPr>
                <w:rFonts w:ascii="Times New Roman" w:eastAsia="Times New Roman" w:hAnsi="Times New Roman" w:cs="Times New Roman"/>
                <w:sz w:val="20"/>
                <w:szCs w:val="20"/>
              </w:rPr>
              <w:t xml:space="preserve"> – карбоксиметил крохмаль натрію</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b</w:t>
            </w:r>
            <w:r w:rsidRPr="008E7203">
              <w:rPr>
                <w:rFonts w:ascii="Times New Roman" w:eastAsia="Times New Roman" w:hAnsi="Times New Roman" w:cs="Times New Roman"/>
                <w:sz w:val="20"/>
                <w:szCs w:val="20"/>
                <w:vertAlign w:val="subscript"/>
              </w:rPr>
              <w:t>2</w:t>
            </w:r>
            <w:r w:rsidRPr="008E7203">
              <w:rPr>
                <w:rFonts w:ascii="Times New Roman" w:eastAsia="Times New Roman" w:hAnsi="Times New Roman" w:cs="Times New Roman"/>
                <w:sz w:val="20"/>
                <w:szCs w:val="20"/>
              </w:rPr>
              <w:t xml:space="preserve"> – крохмаль гліколят натрію</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b</w:t>
            </w:r>
            <w:r w:rsidRPr="008E7203">
              <w:rPr>
                <w:rFonts w:ascii="Times New Roman" w:eastAsia="Times New Roman" w:hAnsi="Times New Roman" w:cs="Times New Roman"/>
                <w:sz w:val="20"/>
                <w:szCs w:val="20"/>
                <w:vertAlign w:val="subscript"/>
              </w:rPr>
              <w:t xml:space="preserve">3  </w:t>
            </w:r>
            <w:r w:rsidRPr="008E7203">
              <w:rPr>
                <w:rFonts w:ascii="Times New Roman" w:eastAsia="Times New Roman" w:hAnsi="Times New Roman" w:cs="Times New Roman"/>
                <w:sz w:val="20"/>
                <w:szCs w:val="20"/>
              </w:rPr>
              <w:t>– крохмаль прежелатинізований</w:t>
            </w:r>
          </w:p>
        </w:tc>
      </w:tr>
      <w:tr w:rsidR="00425A08" w:rsidRPr="008E7203" w:rsidTr="004D5249">
        <w:tc>
          <w:tcPr>
            <w:tcW w:w="4361" w:type="dxa"/>
            <w:tcBorders>
              <w:top w:val="single" w:sz="4" w:space="0" w:color="auto"/>
              <w:left w:val="single" w:sz="4" w:space="0" w:color="auto"/>
              <w:bottom w:val="single" w:sz="4" w:space="0" w:color="auto"/>
              <w:right w:val="single" w:sz="4" w:space="0" w:color="auto"/>
            </w:tcBorders>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i/>
                <w:sz w:val="20"/>
                <w:szCs w:val="20"/>
              </w:rPr>
              <w:t>С</w:t>
            </w:r>
            <w:r w:rsidRPr="008E7203">
              <w:rPr>
                <w:rFonts w:ascii="Times New Roman" w:eastAsia="Times New Roman" w:hAnsi="Times New Roman" w:cs="Times New Roman"/>
                <w:sz w:val="20"/>
                <w:szCs w:val="20"/>
              </w:rPr>
              <w:t xml:space="preserve"> – ковзні речовини</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p>
        </w:tc>
        <w:tc>
          <w:tcPr>
            <w:tcW w:w="5812" w:type="dxa"/>
            <w:tcBorders>
              <w:top w:val="single" w:sz="4" w:space="0" w:color="auto"/>
              <w:left w:val="single" w:sz="4" w:space="0" w:color="auto"/>
              <w:bottom w:val="single" w:sz="4" w:space="0" w:color="auto"/>
              <w:right w:val="single" w:sz="4" w:space="0" w:color="auto"/>
            </w:tcBorders>
            <w:hideMark/>
          </w:tcPr>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с</w:t>
            </w:r>
            <w:r w:rsidRPr="008E7203">
              <w:rPr>
                <w:rFonts w:ascii="Times New Roman" w:eastAsia="Times New Roman" w:hAnsi="Times New Roman" w:cs="Times New Roman"/>
                <w:sz w:val="20"/>
                <w:szCs w:val="20"/>
                <w:vertAlign w:val="subscript"/>
              </w:rPr>
              <w:t xml:space="preserve">1 </w:t>
            </w:r>
            <w:r w:rsidRPr="008E7203">
              <w:rPr>
                <w:rFonts w:ascii="Times New Roman" w:eastAsia="Times New Roman" w:hAnsi="Times New Roman" w:cs="Times New Roman"/>
                <w:sz w:val="20"/>
                <w:szCs w:val="20"/>
              </w:rPr>
              <w:t>– просолв 90</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с</w:t>
            </w:r>
            <w:r w:rsidRPr="008E7203">
              <w:rPr>
                <w:rFonts w:ascii="Times New Roman" w:eastAsia="Times New Roman" w:hAnsi="Times New Roman" w:cs="Times New Roman"/>
                <w:sz w:val="20"/>
                <w:szCs w:val="20"/>
                <w:vertAlign w:val="subscript"/>
              </w:rPr>
              <w:t xml:space="preserve"> 2</w:t>
            </w:r>
            <w:r w:rsidR="004D45D6" w:rsidRPr="008E7203">
              <w:rPr>
                <w:rFonts w:ascii="Times New Roman" w:eastAsia="Times New Roman" w:hAnsi="Times New Roman" w:cs="Times New Roman"/>
                <w:sz w:val="20"/>
                <w:szCs w:val="20"/>
              </w:rPr>
              <w:t>– неусі</w:t>
            </w:r>
            <w:r w:rsidRPr="008E7203">
              <w:rPr>
                <w:rFonts w:ascii="Times New Roman" w:eastAsia="Times New Roman" w:hAnsi="Times New Roman" w:cs="Times New Roman"/>
                <w:sz w:val="20"/>
                <w:szCs w:val="20"/>
              </w:rPr>
              <w:t>лін US 2</w:t>
            </w:r>
          </w:p>
          <w:p w:rsidR="00425A08" w:rsidRPr="008E7203" w:rsidRDefault="00425A08" w:rsidP="00CF40DB">
            <w:pPr>
              <w:pStyle w:val="a3"/>
              <w:spacing w:line="240" w:lineRule="atLeast"/>
              <w:ind w:firstLine="709"/>
              <w:jc w:val="both"/>
              <w:rPr>
                <w:rFonts w:ascii="Times New Roman" w:eastAsia="Times New Roman" w:hAnsi="Times New Roman" w:cs="Times New Roman"/>
                <w:sz w:val="20"/>
                <w:szCs w:val="20"/>
              </w:rPr>
            </w:pPr>
            <w:r w:rsidRPr="008E7203">
              <w:rPr>
                <w:rFonts w:ascii="Times New Roman" w:eastAsia="Times New Roman" w:hAnsi="Times New Roman" w:cs="Times New Roman"/>
                <w:sz w:val="20"/>
                <w:szCs w:val="20"/>
              </w:rPr>
              <w:t>с</w:t>
            </w:r>
            <w:r w:rsidRPr="008E7203">
              <w:rPr>
                <w:rFonts w:ascii="Times New Roman" w:eastAsia="Times New Roman" w:hAnsi="Times New Roman" w:cs="Times New Roman"/>
                <w:sz w:val="20"/>
                <w:szCs w:val="20"/>
                <w:vertAlign w:val="subscript"/>
              </w:rPr>
              <w:t xml:space="preserve">3 </w:t>
            </w:r>
            <w:r w:rsidRPr="008E7203">
              <w:rPr>
                <w:rFonts w:ascii="Times New Roman" w:eastAsia="Times New Roman" w:hAnsi="Times New Roman" w:cs="Times New Roman"/>
                <w:sz w:val="20"/>
                <w:szCs w:val="20"/>
                <w:vertAlign w:val="subscript"/>
              </w:rPr>
              <w:softHyphen/>
            </w:r>
            <w:r w:rsidRPr="008E7203">
              <w:rPr>
                <w:rFonts w:ascii="Times New Roman" w:eastAsia="Times New Roman" w:hAnsi="Times New Roman" w:cs="Times New Roman"/>
                <w:sz w:val="20"/>
                <w:szCs w:val="20"/>
              </w:rPr>
              <w:t>– аеросил</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Технологія гранул була наступна:</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Згідно рецептури, яка наведена вище, відважували густу </w:t>
      </w:r>
      <w:r w:rsidR="007E3477">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та змішували з ДР із групи наповнювачів (фактор А), після чого додавали розпушувальні речовини (фактор В) і знову ретельно перемішували. Оскільки гранульована маса не була достатньо зволожена, а отже гранули б не мали необхідної структури та форми, було вирішено додати зволожувальний розчи</w:t>
      </w:r>
      <w:r w:rsidR="00690F93">
        <w:rPr>
          <w:rFonts w:ascii="Times New Roman" w:eastAsia="Times New Roman" w:hAnsi="Times New Roman" w:cs="Times New Roman"/>
          <w:sz w:val="28"/>
          <w:szCs w:val="28"/>
        </w:rPr>
        <w:t>н – 5 % крохмальний клейстер [40</w:t>
      </w:r>
      <w:r w:rsidRPr="00CF22AE">
        <w:rPr>
          <w:rFonts w:ascii="Times New Roman" w:eastAsia="Times New Roman" w:hAnsi="Times New Roman" w:cs="Times New Roman"/>
          <w:sz w:val="28"/>
          <w:szCs w:val="28"/>
        </w:rPr>
        <w:t xml:space="preserve">]. Вологу масу гранулювали через сита діаметром 2 мм. Отриманий гранулят висушували в сушильній шафі при температурі не більше 60 </w:t>
      </w:r>
      <w:r w:rsidRPr="00CF22AE">
        <w:rPr>
          <w:rFonts w:ascii="Times New Roman" w:eastAsia="Times New Roman" w:hAnsi="Times New Roman" w:cs="Times New Roman"/>
          <w:sz w:val="28"/>
          <w:szCs w:val="28"/>
          <w:vertAlign w:val="superscript"/>
        </w:rPr>
        <w:t>0</w:t>
      </w:r>
      <w:r w:rsidRPr="00CF22AE">
        <w:rPr>
          <w:rFonts w:ascii="Times New Roman" w:eastAsia="Times New Roman" w:hAnsi="Times New Roman" w:cs="Times New Roman"/>
          <w:sz w:val="28"/>
          <w:szCs w:val="28"/>
        </w:rPr>
        <w:t>С. Потім знову гранулювали через сито діаметром 1 мм. Отриману сумішку опудрювали ковзними речовинами (фактор С). Після чого проводили фармако-технологічні д</w:t>
      </w:r>
      <w:r w:rsidR="00690F93">
        <w:rPr>
          <w:rFonts w:ascii="Times New Roman" w:eastAsia="Times New Roman" w:hAnsi="Times New Roman" w:cs="Times New Roman"/>
          <w:sz w:val="28"/>
          <w:szCs w:val="28"/>
        </w:rPr>
        <w:t>ослідження гранул згідно ДФУ [34</w:t>
      </w:r>
      <w:r w:rsidRPr="00CF22AE">
        <w:rPr>
          <w:rFonts w:ascii="Times New Roman" w:eastAsia="Times New Roman" w:hAnsi="Times New Roman" w:cs="Times New Roman"/>
          <w:sz w:val="28"/>
          <w:szCs w:val="28"/>
        </w:rPr>
        <w:t>]. Було отримано дев’ять експериментальних серій.</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Матриця планування експерименту та результати дослідження фармако-технологічних показників якості гранул на основі </w:t>
      </w:r>
      <w:r w:rsidR="007E3477">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наведені в табл. 3.4.</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690F93" w:rsidRDefault="00690F9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rsidR="00425A08" w:rsidRPr="005A475B" w:rsidRDefault="005A475B" w:rsidP="005A475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3.4 – </w:t>
      </w:r>
      <w:r w:rsidR="00425A08" w:rsidRPr="005A475B">
        <w:rPr>
          <w:rFonts w:ascii="Times New Roman" w:eastAsia="Times New Roman" w:hAnsi="Times New Roman" w:cs="Times New Roman"/>
          <w:sz w:val="28"/>
          <w:szCs w:val="28"/>
        </w:rPr>
        <w:t>Трьохфакторний експеримент на основі 3х3 латинського квадрату та результати дослідження гранул на основі фітосубстанції пирію повзучого трави</w:t>
      </w:r>
    </w:p>
    <w:tbl>
      <w:tblPr>
        <w:tblStyle w:val="aa"/>
        <w:tblW w:w="0" w:type="auto"/>
        <w:jc w:val="center"/>
        <w:tblLook w:val="04A0" w:firstRow="1" w:lastRow="0" w:firstColumn="1" w:lastColumn="0" w:noHBand="0" w:noVBand="1"/>
      </w:tblPr>
      <w:tblGrid>
        <w:gridCol w:w="793"/>
        <w:gridCol w:w="451"/>
        <w:gridCol w:w="452"/>
        <w:gridCol w:w="437"/>
        <w:gridCol w:w="858"/>
        <w:gridCol w:w="858"/>
        <w:gridCol w:w="858"/>
        <w:gridCol w:w="716"/>
        <w:gridCol w:w="858"/>
        <w:gridCol w:w="858"/>
        <w:gridCol w:w="1000"/>
        <w:gridCol w:w="1000"/>
        <w:gridCol w:w="716"/>
      </w:tblGrid>
      <w:tr w:rsidR="00425A08" w:rsidRPr="00CF22AE" w:rsidTr="007E3477">
        <w:trPr>
          <w:jc w:val="center"/>
        </w:trPr>
        <w:tc>
          <w:tcPr>
            <w:tcW w:w="0" w:type="auto"/>
            <w:vMerge w:val="restart"/>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 серії</w:t>
            </w:r>
          </w:p>
        </w:tc>
        <w:tc>
          <w:tcPr>
            <w:tcW w:w="0" w:type="auto"/>
            <w:gridSpan w:val="3"/>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Фактор</w:t>
            </w:r>
          </w:p>
        </w:tc>
        <w:tc>
          <w:tcPr>
            <w:tcW w:w="0" w:type="auto"/>
            <w:gridSpan w:val="9"/>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Відгук</w:t>
            </w:r>
          </w:p>
        </w:tc>
      </w:tr>
      <w:tr w:rsidR="00425A08" w:rsidRPr="00CF22AE" w:rsidTr="007E3477">
        <w:trPr>
          <w:jc w:val="center"/>
        </w:trPr>
        <w:tc>
          <w:tcPr>
            <w:tcW w:w="0" w:type="auto"/>
            <w:vMerge/>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i/>
                <w:sz w:val="28"/>
                <w:szCs w:val="28"/>
              </w:rPr>
            </w:pPr>
            <w:r w:rsidRPr="00CF22AE">
              <w:rPr>
                <w:rFonts w:ascii="Times New Roman" w:eastAsia="Times New Roman" w:hAnsi="Times New Roman" w:cs="Times New Roman"/>
                <w:b/>
                <w:i/>
                <w:sz w:val="28"/>
                <w:szCs w:val="28"/>
              </w:rPr>
              <w:t>А</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i/>
                <w:sz w:val="28"/>
                <w:szCs w:val="28"/>
              </w:rPr>
            </w:pPr>
            <w:r w:rsidRPr="00CF22AE">
              <w:rPr>
                <w:rFonts w:ascii="Times New Roman" w:eastAsia="Times New Roman" w:hAnsi="Times New Roman" w:cs="Times New Roman"/>
                <w:b/>
                <w:i/>
                <w:sz w:val="28"/>
                <w:szCs w:val="28"/>
              </w:rPr>
              <w:t>В</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i/>
                <w:sz w:val="28"/>
                <w:szCs w:val="28"/>
              </w:rPr>
            </w:pPr>
            <w:r w:rsidRPr="00CF22AE">
              <w:rPr>
                <w:rFonts w:ascii="Times New Roman" w:eastAsia="Times New Roman" w:hAnsi="Times New Roman" w:cs="Times New Roman"/>
                <w:b/>
                <w:i/>
                <w:sz w:val="28"/>
                <w:szCs w:val="28"/>
              </w:rPr>
              <w:t>С</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у</w:t>
            </w:r>
            <w:r w:rsidRPr="00CF22AE">
              <w:rPr>
                <w:rFonts w:ascii="Times New Roman" w:eastAsia="Times New Roman" w:hAnsi="Times New Roman" w:cs="Times New Roman"/>
                <w:b/>
                <w:sz w:val="28"/>
                <w:szCs w:val="28"/>
                <w:vertAlign w:val="subscript"/>
              </w:rPr>
              <w:t>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D</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vertAlign w:val="subscript"/>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2,105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24,80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33,33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0,361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0,379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0,978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102,00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0,66</w:t>
            </w:r>
          </w:p>
        </w:tc>
      </w:tr>
      <w:tr w:rsidR="00425A08" w:rsidRPr="00CF22AE" w:rsidTr="007E3477">
        <w:trPr>
          <w:trHeight w:val="70"/>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vertAlign w:val="subscript"/>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2,558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26,24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34,00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0,368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0,384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1,955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20,53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0,79</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2,331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23,95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36,33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0,424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0,451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1,484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90,00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0,75</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3,451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27,90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33,67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0,324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0,343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1,426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16,07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0,45</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2,746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29,30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37,60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0,332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0,361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1,924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20,62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0,44</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1,853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15,87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24,33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1,11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0,577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0,639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1,362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120,00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0,33</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1,614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26,70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28,00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1,11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0,350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0,388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7,4455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0,44</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1,475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22,66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30,66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0,387</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0,423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12,535</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10,41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0,00</w:t>
            </w:r>
          </w:p>
        </w:tc>
      </w:tr>
      <w:tr w:rsidR="00425A08" w:rsidRPr="00CF22AE" w:rsidTr="007E3477">
        <w:trPr>
          <w:jc w:val="center"/>
        </w:trPr>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а</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b</w:t>
            </w:r>
            <w:r w:rsidRPr="00CF22AE">
              <w:rPr>
                <w:rFonts w:ascii="Times New Roman" w:eastAsia="Times New Roman" w:hAnsi="Times New Roman" w:cs="Times New Roman"/>
                <w:i/>
                <w:sz w:val="28"/>
                <w:szCs w:val="28"/>
                <w:vertAlign w:val="subscript"/>
              </w:rPr>
              <w:t>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c</w:t>
            </w:r>
            <w:r w:rsidRPr="00CF22AE">
              <w:rPr>
                <w:rFonts w:ascii="Times New Roman" w:eastAsia="Times New Roman" w:hAnsi="Times New Roman" w:cs="Times New Roman"/>
                <w:i/>
                <w:sz w:val="28"/>
                <w:szCs w:val="28"/>
                <w:vertAlign w:val="subscript"/>
              </w:rPr>
              <w:t>2</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1,203</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19,44</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30,00</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1,08</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0,441</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0,476</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2,949</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15,30   </w:t>
            </w:r>
          </w:p>
        </w:tc>
        <w:tc>
          <w:tcPr>
            <w:tcW w:w="0" w:type="auto"/>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0,89</w:t>
            </w:r>
          </w:p>
        </w:tc>
      </w:tr>
      <w:tr w:rsidR="00425A08" w:rsidRPr="00CF22AE" w:rsidTr="007E3477">
        <w:trPr>
          <w:jc w:val="center"/>
        </w:trPr>
        <w:tc>
          <w:tcPr>
            <w:tcW w:w="0" w:type="auto"/>
            <w:gridSpan w:val="13"/>
          </w:tcPr>
          <w:p w:rsidR="00425A08" w:rsidRPr="00CF22AE" w:rsidRDefault="00425A08" w:rsidP="00CF40DB">
            <w:pPr>
              <w:pStyle w:val="a3"/>
              <w:spacing w:line="14"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Примітки: у</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 втрата маси при висушуванні, %; у</w:t>
            </w:r>
            <w:r w:rsidRPr="00CF22AE">
              <w:rPr>
                <w:rFonts w:ascii="Times New Roman" w:eastAsia="Times New Roman" w:hAnsi="Times New Roman" w:cs="Times New Roman"/>
                <w:sz w:val="28"/>
                <w:szCs w:val="28"/>
                <w:vertAlign w:val="subscript"/>
              </w:rPr>
              <w:t>2</w:t>
            </w:r>
            <w:r w:rsidRPr="00CF22AE">
              <w:rPr>
                <w:rFonts w:ascii="Times New Roman" w:eastAsia="Times New Roman" w:hAnsi="Times New Roman" w:cs="Times New Roman"/>
                <w:sz w:val="28"/>
                <w:szCs w:val="28"/>
              </w:rPr>
              <w:t xml:space="preserve"> – текучість гранул, 100  г/с; у</w:t>
            </w:r>
            <w:r w:rsidRPr="00CF22AE">
              <w:rPr>
                <w:rFonts w:ascii="Times New Roman" w:eastAsia="Times New Roman" w:hAnsi="Times New Roman" w:cs="Times New Roman"/>
                <w:sz w:val="28"/>
                <w:szCs w:val="28"/>
                <w:vertAlign w:val="subscript"/>
              </w:rPr>
              <w:t>3</w:t>
            </w:r>
            <w:r w:rsidRPr="00CF22AE">
              <w:rPr>
                <w:rFonts w:ascii="Times New Roman" w:eastAsia="Times New Roman" w:hAnsi="Times New Roman" w:cs="Times New Roman"/>
                <w:sz w:val="28"/>
                <w:szCs w:val="28"/>
              </w:rPr>
              <w:t xml:space="preserve"> – кут природнього укосу </w:t>
            </w:r>
            <w:r w:rsidRPr="00CF22AE">
              <w:rPr>
                <w:rFonts w:ascii="Times New Roman" w:eastAsia="Times New Roman" w:hAnsi="Times New Roman" w:cs="Times New Roman"/>
                <w:sz w:val="28"/>
                <w:szCs w:val="28"/>
                <w:vertAlign w:val="superscript"/>
              </w:rPr>
              <w:t>о</w:t>
            </w:r>
            <w:r w:rsidRPr="00CF22AE">
              <w:rPr>
                <w:rFonts w:ascii="Times New Roman" w:eastAsia="Times New Roman" w:hAnsi="Times New Roman" w:cs="Times New Roman"/>
                <w:sz w:val="28"/>
                <w:szCs w:val="28"/>
              </w:rPr>
              <w:t xml:space="preserve"> ; у</w:t>
            </w:r>
            <w:r w:rsidRPr="00CF22AE">
              <w:rPr>
                <w:rFonts w:ascii="Times New Roman" w:eastAsia="Times New Roman" w:hAnsi="Times New Roman" w:cs="Times New Roman"/>
                <w:sz w:val="28"/>
                <w:szCs w:val="28"/>
                <w:vertAlign w:val="subscript"/>
              </w:rPr>
              <w:t xml:space="preserve">4 </w:t>
            </w:r>
            <w:r w:rsidRPr="00CF22AE">
              <w:rPr>
                <w:rFonts w:ascii="Times New Roman" w:eastAsia="Times New Roman" w:hAnsi="Times New Roman" w:cs="Times New Roman"/>
                <w:sz w:val="28"/>
                <w:szCs w:val="28"/>
              </w:rPr>
              <w:t>– коефіцієнт Гауснера; у</w:t>
            </w:r>
            <w:r w:rsidRPr="00CF22AE">
              <w:rPr>
                <w:rFonts w:ascii="Times New Roman" w:eastAsia="Times New Roman" w:hAnsi="Times New Roman" w:cs="Times New Roman"/>
                <w:sz w:val="28"/>
                <w:szCs w:val="28"/>
                <w:vertAlign w:val="subscript"/>
              </w:rPr>
              <w:t xml:space="preserve">5 </w:t>
            </w:r>
            <w:r w:rsidRPr="00CF22AE">
              <w:rPr>
                <w:rFonts w:ascii="Times New Roman" w:eastAsia="Times New Roman" w:hAnsi="Times New Roman" w:cs="Times New Roman"/>
                <w:sz w:val="28"/>
                <w:szCs w:val="28"/>
              </w:rPr>
              <w:t>– насипна густина, г/см</w:t>
            </w:r>
            <w:r w:rsidRPr="00CF22AE">
              <w:rPr>
                <w:rFonts w:ascii="Times New Roman" w:eastAsia="Times New Roman" w:hAnsi="Times New Roman" w:cs="Times New Roman"/>
                <w:sz w:val="28"/>
                <w:szCs w:val="28"/>
                <w:vertAlign w:val="superscript"/>
              </w:rPr>
              <w:t>3</w:t>
            </w:r>
            <w:r w:rsidRPr="00CF22AE">
              <w:rPr>
                <w:rFonts w:ascii="Times New Roman" w:eastAsia="Times New Roman" w:hAnsi="Times New Roman" w:cs="Times New Roman"/>
                <w:sz w:val="28"/>
                <w:szCs w:val="28"/>
              </w:rPr>
              <w:t>; у</w:t>
            </w:r>
            <w:r w:rsidRPr="00CF22AE">
              <w:rPr>
                <w:rFonts w:ascii="Times New Roman" w:eastAsia="Times New Roman" w:hAnsi="Times New Roman" w:cs="Times New Roman"/>
                <w:sz w:val="28"/>
                <w:szCs w:val="28"/>
                <w:vertAlign w:val="subscript"/>
              </w:rPr>
              <w:t xml:space="preserve">6 </w:t>
            </w:r>
            <w:r w:rsidRPr="00CF22AE">
              <w:rPr>
                <w:rFonts w:ascii="Times New Roman" w:eastAsia="Times New Roman" w:hAnsi="Times New Roman" w:cs="Times New Roman"/>
                <w:sz w:val="28"/>
                <w:szCs w:val="28"/>
              </w:rPr>
              <w:t>– насипна густина після усадки, г/см</w:t>
            </w:r>
            <w:r w:rsidRPr="00CF22AE">
              <w:rPr>
                <w:rFonts w:ascii="Times New Roman" w:eastAsia="Times New Roman" w:hAnsi="Times New Roman" w:cs="Times New Roman"/>
                <w:sz w:val="28"/>
                <w:szCs w:val="28"/>
                <w:vertAlign w:val="superscript"/>
              </w:rPr>
              <w:t xml:space="preserve">3 </w:t>
            </w:r>
            <w:r w:rsidRPr="00CF22AE">
              <w:rPr>
                <w:rFonts w:ascii="Times New Roman" w:eastAsia="Times New Roman" w:hAnsi="Times New Roman" w:cs="Times New Roman"/>
                <w:sz w:val="28"/>
                <w:szCs w:val="28"/>
              </w:rPr>
              <w:t>; у</w:t>
            </w:r>
            <w:r w:rsidRPr="00CF22AE">
              <w:rPr>
                <w:rFonts w:ascii="Times New Roman" w:eastAsia="Times New Roman" w:hAnsi="Times New Roman" w:cs="Times New Roman"/>
                <w:sz w:val="28"/>
                <w:szCs w:val="28"/>
                <w:vertAlign w:val="subscript"/>
              </w:rPr>
              <w:t xml:space="preserve">7 </w:t>
            </w:r>
            <w:r w:rsidRPr="00CF22AE">
              <w:rPr>
                <w:rFonts w:ascii="Times New Roman" w:eastAsia="Times New Roman" w:hAnsi="Times New Roman" w:cs="Times New Roman"/>
                <w:sz w:val="28"/>
                <w:szCs w:val="28"/>
              </w:rPr>
              <w:t>– крихкість гранул,% ; у</w:t>
            </w:r>
            <w:r w:rsidRPr="00CF22AE">
              <w:rPr>
                <w:rFonts w:ascii="Times New Roman" w:eastAsia="Times New Roman" w:hAnsi="Times New Roman" w:cs="Times New Roman"/>
                <w:sz w:val="28"/>
                <w:szCs w:val="28"/>
                <w:vertAlign w:val="subscript"/>
              </w:rPr>
              <w:t xml:space="preserve">8 </w:t>
            </w:r>
            <w:r w:rsidRPr="00CF22AE">
              <w:rPr>
                <w:rFonts w:ascii="Times New Roman" w:eastAsia="Times New Roman" w:hAnsi="Times New Roman" w:cs="Times New Roman"/>
                <w:sz w:val="28"/>
                <w:szCs w:val="28"/>
              </w:rPr>
              <w:t>– розпадання гранул,сек.; D – функція бажаності</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Першим етапом наших досліджень було встановити фракційний склад кожної з дев’яти серій. Визначення розміру частинок проводили згідно методики,  яка наведена у розділі 2. Результати ек</w:t>
      </w:r>
      <w:r w:rsidR="00690F93">
        <w:rPr>
          <w:rFonts w:ascii="Times New Roman" w:eastAsia="Times New Roman" w:hAnsi="Times New Roman" w:cs="Times New Roman"/>
          <w:sz w:val="28"/>
          <w:szCs w:val="28"/>
        </w:rPr>
        <w:t xml:space="preserve">сперименту представлено у табл. </w:t>
      </w:r>
      <w:r w:rsidRPr="00CF22AE">
        <w:rPr>
          <w:rFonts w:ascii="Times New Roman" w:eastAsia="Times New Roman" w:hAnsi="Times New Roman" w:cs="Times New Roman"/>
          <w:sz w:val="28"/>
          <w:szCs w:val="28"/>
        </w:rPr>
        <w:t>3. 5.</w:t>
      </w:r>
    </w:p>
    <w:p w:rsidR="00425A08" w:rsidRPr="005A475B" w:rsidRDefault="005A475B" w:rsidP="005A475B">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3.5 – </w:t>
      </w:r>
      <w:r w:rsidR="00425A08" w:rsidRPr="005A475B">
        <w:rPr>
          <w:rFonts w:ascii="Times New Roman" w:eastAsia="Times New Roman" w:hAnsi="Times New Roman" w:cs="Times New Roman"/>
          <w:sz w:val="28"/>
          <w:szCs w:val="28"/>
        </w:rPr>
        <w:t>Визначення фракційного складу дев’яти серій гранул на основі фітосубстанції пирію повзучого трави</w:t>
      </w:r>
    </w:p>
    <w:tbl>
      <w:tblPr>
        <w:tblStyle w:val="aa"/>
        <w:tblW w:w="5000" w:type="pct"/>
        <w:tblLook w:val="04A0" w:firstRow="1" w:lastRow="0" w:firstColumn="1" w:lastColumn="0" w:noHBand="0" w:noVBand="1"/>
      </w:tblPr>
      <w:tblGrid>
        <w:gridCol w:w="1134"/>
        <w:gridCol w:w="1362"/>
        <w:gridCol w:w="1275"/>
        <w:gridCol w:w="1275"/>
        <w:gridCol w:w="1275"/>
        <w:gridCol w:w="1275"/>
        <w:gridCol w:w="2259"/>
      </w:tblGrid>
      <w:tr w:rsidR="00425A08" w:rsidRPr="00CF22AE" w:rsidTr="004D5249">
        <w:tc>
          <w:tcPr>
            <w:tcW w:w="1266" w:type="pct"/>
            <w:gridSpan w:val="2"/>
            <w:vMerge w:val="restar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 серії</w:t>
            </w:r>
          </w:p>
        </w:tc>
        <w:tc>
          <w:tcPr>
            <w:tcW w:w="3734" w:type="pct"/>
            <w:gridSpan w:val="5"/>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Розмір чарунок, мм</w:t>
            </w:r>
          </w:p>
        </w:tc>
      </w:tr>
      <w:tr w:rsidR="00425A08" w:rsidRPr="00CF22AE" w:rsidTr="004D5249">
        <w:tc>
          <w:tcPr>
            <w:tcW w:w="1266" w:type="pct"/>
            <w:gridSpan w:val="2"/>
            <w:vMerge/>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1,4</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1,0</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0,7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0,5</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Менше 0,5</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w:t>
            </w:r>
          </w:p>
        </w:tc>
        <w:tc>
          <w:tcPr>
            <w:tcW w:w="691" w:type="pct"/>
            <w:vMerge w:val="restart"/>
            <w:textDirection w:val="btLr"/>
          </w:tcPr>
          <w:p w:rsidR="00425A08" w:rsidRPr="00CF22AE" w:rsidRDefault="00425A08" w:rsidP="001241BD">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Фракційний склад, %</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9,37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31,80</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16,17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10,33</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33,14</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9,71</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38,93</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15,85</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8,47</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26,04</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12,76</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36,97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15,68</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8,63</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24,99</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8,46</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35,37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17,43</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9,29</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28,44</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5</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9,52</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39,45</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17,38</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8,74</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23,77</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18,18</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39,30</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14,16</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6,03</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21,26</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7</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3,61</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26,61</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16,94</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10,59</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41,82</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3,43</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25,83</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16,72</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9,73</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44,29</w:t>
            </w:r>
          </w:p>
        </w:tc>
      </w:tr>
      <w:tr w:rsidR="00425A08" w:rsidRPr="00CF22AE" w:rsidTr="004D5249">
        <w:tc>
          <w:tcPr>
            <w:tcW w:w="575"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w:t>
            </w:r>
          </w:p>
        </w:tc>
        <w:tc>
          <w:tcPr>
            <w:tcW w:w="691" w:type="pct"/>
            <w:vMerge/>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3,88</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29,47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29,47</w:t>
            </w:r>
          </w:p>
        </w:tc>
        <w:tc>
          <w:tcPr>
            <w:tcW w:w="6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9,99</w:t>
            </w:r>
          </w:p>
        </w:tc>
        <w:tc>
          <w:tcPr>
            <w:tcW w:w="1147" w:type="pct"/>
          </w:tcPr>
          <w:p w:rsidR="00425A08" w:rsidRPr="00CF22AE" w:rsidRDefault="00425A08" w:rsidP="001241BD">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37,12</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Згідно отриманих даних, що наведено у табл. 3.5., встановлено, що  найбільша фракція отримується у всіх дев’яти серіях при розмірі гранул 1мм та менше 0,5 мм. Так, у 1, 2, 3, 4, 5, 6 серіях переважає фракція з розміром гранул 1,0 мм (в середньому 36,97 %) та фракція з розміром &gt; 0,5 мм (26,27 %). У серіях 7, 8, 9 кількісний вміст фракції з розміром &gt; 0,5 мм є трохи більшим і в середньому становить 41,11 </w:t>
      </w:r>
      <w:r w:rsidR="005A475B">
        <w:rPr>
          <w:rFonts w:ascii="Times New Roman" w:eastAsia="Times New Roman" w:hAnsi="Times New Roman" w:cs="Times New Roman"/>
          <w:sz w:val="28"/>
          <w:szCs w:val="28"/>
        </w:rPr>
        <w:t>%, а фракція з розміром 1,0 мм -</w:t>
      </w:r>
      <w:r w:rsidRPr="00CF22AE">
        <w:rPr>
          <w:rFonts w:ascii="Times New Roman" w:eastAsia="Times New Roman" w:hAnsi="Times New Roman" w:cs="Times New Roman"/>
          <w:sz w:val="28"/>
          <w:szCs w:val="28"/>
        </w:rPr>
        <w:t xml:space="preserve"> 27, 30 %.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Наступним етапом наших досліджень було проаналізувати вплив ДР на технологічні властивої гранул, тому отримані результати експерименту підлягали дисперсійному аналізу.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Першим показником, який був нами вивчений – втрата маси при висушуванні. На даний показник найбільший вплив чинить фактор А – наповнювачі, вплив яких наведено на рис. 3.6.</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7E87D73" wp14:editId="1D216C1D">
            <wp:extent cx="5172075" cy="2895600"/>
            <wp:effectExtent l="0" t="0" r="9525" b="19050"/>
            <wp:docPr id="92" name="Диаграмма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3.8</w:t>
      </w:r>
      <w:r w:rsidR="001B4373" w:rsidRPr="001B4373">
        <w:rPr>
          <w:rFonts w:ascii="Times New Roman" w:eastAsia="Times New Roman" w:hAnsi="Times New Roman" w:cs="Times New Roman"/>
          <w:sz w:val="28"/>
          <w:szCs w:val="28"/>
        </w:rPr>
        <w:t xml:space="preserve"> </w:t>
      </w:r>
      <w:r w:rsidR="001B4373">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rPr>
        <w:t xml:space="preserve"> Вплив наповнювачів на втрату маси при висушуванні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Згідно наведено рис. 3.8. , найменше значення втрати при висушуванні отримуємо при використанні лактози (1,43 %), значення даного показника зростає при введені у гранули МКЦ 200+лактоза (1:1) та МЦ 101 + лактоза (1:1) до 2,33 % та 2,68 % відповідно.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Вплив факторів на текучість гранул можна проілюструвати наступним рядом переваг : В &gt; С &gt; А, тобто група розпушуючих речовин має найбільший вплив на цей показник. Варто зазначити що всі показники впливають на текучість. Вплив розпушувачів на текучість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наведено на рис. 3.9.</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63D4504" wp14:editId="178D71F0">
            <wp:extent cx="5486400" cy="3200400"/>
            <wp:effectExtent l="0" t="0" r="19050" b="19050"/>
            <wp:docPr id="93"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3.9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розпушувачів на текучість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Згідно наведеного рис. 3.9. гранули висипалися найшвидше при використа</w:t>
      </w:r>
      <w:r w:rsidR="004D45D6">
        <w:rPr>
          <w:rFonts w:ascii="Times New Roman" w:eastAsia="Times New Roman" w:hAnsi="Times New Roman" w:cs="Times New Roman"/>
          <w:sz w:val="28"/>
          <w:szCs w:val="28"/>
        </w:rPr>
        <w:t>нні як розпушувача крохмалю пре</w:t>
      </w:r>
      <w:r w:rsidRPr="00CF22AE">
        <w:rPr>
          <w:rFonts w:ascii="Times New Roman" w:eastAsia="Times New Roman" w:hAnsi="Times New Roman" w:cs="Times New Roman"/>
          <w:sz w:val="28"/>
          <w:szCs w:val="28"/>
        </w:rPr>
        <w:t>желатинізованого при цьому даний показник становив 19,75 (100 г/с). При застосуванні крохмаль гліколят натрію та карбоксиметилкрохмаль натрію гранули висипалися повільніше (26,07 (100 г/с) та 26,47 (100 г/с) відповідно).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Аналізуючи результати (рис. 3.10.), встановлено, що при використанні як наповнювача лактози текучість гранульованої маси становить 22,93 100 г/с, що є найкращим результатом порівнюючи з МКЦ 101 + лактоза (1:1) та МКЦ 200 + лактоза (1:1). При використанні цих наповнювачів текучість становила 24,36 100 г/с та 24,99 100 г/с відповідно.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858C29B" wp14:editId="702E738C">
            <wp:extent cx="5486400" cy="3200400"/>
            <wp:effectExtent l="0" t="0" r="19050" b="19050"/>
            <wp:docPr id="94"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3.10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наповнювачів на текучість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 рис. 3.11. Наведено вплив ковзних речовин (фактор С) на текучість гранул на онові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4113A763" wp14:editId="2A095F9A">
            <wp:extent cx="5724525" cy="2524125"/>
            <wp:effectExtent l="0" t="0" r="9525" b="9525"/>
            <wp:docPr id="9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3.11 – </w:t>
      </w:r>
      <w:r w:rsidRPr="00CF22AE">
        <w:rPr>
          <w:rFonts w:ascii="Times New Roman" w:eastAsia="Times New Roman" w:hAnsi="Times New Roman" w:cs="Times New Roman"/>
          <w:sz w:val="28"/>
          <w:szCs w:val="28"/>
        </w:rPr>
        <w:t xml:space="preserve"> Впив ковзних речовин на текучість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Аналіз наведеного рис. 3.11., показав, що швидкість витікання гранул із воронки покращується при застосуванні в якості ковзної речовини – просолву 90, при цьому швидкість течії становила 21,11 </w:t>
      </w:r>
      <w:r w:rsidR="004D45D6">
        <w:rPr>
          <w:rFonts w:ascii="Times New Roman" w:eastAsia="Times New Roman" w:hAnsi="Times New Roman" w:cs="Times New Roman"/>
          <w:sz w:val="28"/>
          <w:szCs w:val="28"/>
        </w:rPr>
        <w:t>(100 г/с). При опудрюванні неусі</w:t>
      </w:r>
      <w:r w:rsidRPr="00CF22AE">
        <w:rPr>
          <w:rFonts w:ascii="Times New Roman" w:eastAsia="Times New Roman" w:hAnsi="Times New Roman" w:cs="Times New Roman"/>
          <w:sz w:val="28"/>
          <w:szCs w:val="28"/>
        </w:rPr>
        <w:t>ліном US 2 та аеросилом текучість погіршувалась і становила 24,53 (100 г/с) та 26,65 (100 г/с) відповідно.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Згідно дисперсійного аналізу на кут природнього укосу не чинить вплив жодний фактор.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Аналізуючи окремо по групах ДР, встановлено, що при використанні як наповнювача лактози кут природнього укосу зменшується і становить 29,55 </w:t>
      </w:r>
      <w:r w:rsidRPr="00CF22AE">
        <w:rPr>
          <w:rFonts w:ascii="Times New Roman" w:eastAsia="Times New Roman" w:hAnsi="Times New Roman" w:cs="Times New Roman"/>
          <w:sz w:val="28"/>
          <w:szCs w:val="28"/>
          <w:vertAlign w:val="superscript"/>
        </w:rPr>
        <w:t xml:space="preserve">о </w:t>
      </w:r>
      <w:r w:rsidRPr="00CF22AE">
        <w:rPr>
          <w:rFonts w:ascii="Times New Roman" w:eastAsia="Times New Roman" w:hAnsi="Times New Roman" w:cs="Times New Roman"/>
          <w:sz w:val="28"/>
          <w:szCs w:val="28"/>
        </w:rPr>
        <w:t>. При застосуванні МКЦ 200+ лактоза (1:1) показник зростає до 34,54</w:t>
      </w:r>
      <w:r w:rsidRPr="00CF22AE">
        <w:rPr>
          <w:rFonts w:ascii="Times New Roman" w:eastAsia="Times New Roman" w:hAnsi="Times New Roman" w:cs="Times New Roman"/>
          <w:sz w:val="28"/>
          <w:szCs w:val="28"/>
          <w:vertAlign w:val="superscript"/>
        </w:rPr>
        <w:t>о</w:t>
      </w:r>
      <w:r w:rsidRPr="00CF22AE">
        <w:rPr>
          <w:rFonts w:ascii="Times New Roman" w:eastAsia="Times New Roman" w:hAnsi="Times New Roman" w:cs="Times New Roman"/>
          <w:sz w:val="28"/>
          <w:szCs w:val="28"/>
        </w:rPr>
        <w:t xml:space="preserve">.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Із розпушувачів найкраще значення кута природного укосу отримуємо при застосуванні крохмалю прежелатинізованого, досліджуваний показник становить 30,21</w:t>
      </w:r>
      <w:r w:rsidRPr="00CF22AE">
        <w:rPr>
          <w:rFonts w:ascii="Times New Roman" w:eastAsia="Times New Roman" w:hAnsi="Times New Roman" w:cs="Times New Roman"/>
          <w:sz w:val="28"/>
          <w:szCs w:val="28"/>
          <w:vertAlign w:val="superscript"/>
        </w:rPr>
        <w:t>о</w:t>
      </w:r>
      <w:r w:rsidRPr="00CF22AE">
        <w:rPr>
          <w:rFonts w:ascii="Times New Roman" w:eastAsia="Times New Roman" w:hAnsi="Times New Roman" w:cs="Times New Roman"/>
          <w:sz w:val="28"/>
          <w:szCs w:val="28"/>
        </w:rPr>
        <w:t>. При опудрені гранул просолом US 2 90 значення кута природнього укосу покращується (29,42</w:t>
      </w:r>
      <w:r w:rsidRPr="00CF22AE">
        <w:rPr>
          <w:rFonts w:ascii="Times New Roman" w:eastAsia="Times New Roman" w:hAnsi="Times New Roman" w:cs="Times New Roman"/>
          <w:sz w:val="28"/>
          <w:szCs w:val="28"/>
          <w:vertAlign w:val="superscript"/>
        </w:rPr>
        <w:t xml:space="preserve"> </w:t>
      </w:r>
      <w:r w:rsidRPr="00CF22AE">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vertAlign w:val="superscript"/>
        </w:rPr>
        <w:t>о</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За допомогою дисперсійного аналізу встановлено що на коефіцієнт Гауснера впливає  тільки група наповнювачів, вплив якої наведено на рис. 3.12.</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Застосування МКЦ 200 + лактоза (1:1) у гранулах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отримуємо найкраще значення коефіцієнта Гауснера( 1,05) , що згідно ДФУ (2.9.36) даний показник можна інтерпулювати як відмінна текучість. Варто зазначити, що і при застосуванні МКЦ 101 + лактоза (1:1) та лактози досліджуваний показник лежить в межі від 1.00 до 1.11 , що відповідає відмінній текучості.</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44A55A3B" wp14:editId="1683679F">
            <wp:extent cx="5410200" cy="2495550"/>
            <wp:effectExtent l="0" t="0" r="19050" b="19050"/>
            <wp:docPr id="96"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3.12 –</w:t>
      </w:r>
      <w:r w:rsidRPr="00CF22AE">
        <w:rPr>
          <w:rFonts w:ascii="Times New Roman" w:eastAsia="Times New Roman" w:hAnsi="Times New Roman" w:cs="Times New Roman"/>
          <w:sz w:val="28"/>
          <w:szCs w:val="28"/>
        </w:rPr>
        <w:t xml:space="preserve"> Вплив наповнювачів  на коефіцієнт Гауснера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При вивчені впливу досліджуваних факторів на насипну густину, було встановлено, що даний показник найбільшою мірою залежить від введення розпушувачів (фактор В).  На рис. 3.13. наведено вплив фактору В на насипну густину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4A2AFE9A" wp14:editId="6E762A7E">
            <wp:extent cx="5486400" cy="2714625"/>
            <wp:effectExtent l="0" t="0" r="19050" b="9525"/>
            <wp:docPr id="97"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3.13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розпушувачів на насипну густину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Згідно наведеного рис. 3.13. значення насипної густини збільшується і становить 0,48 г/мл при введені у</w:t>
      </w:r>
      <w:r w:rsidR="004D45D6">
        <w:rPr>
          <w:rFonts w:ascii="Times New Roman" w:eastAsia="Times New Roman" w:hAnsi="Times New Roman" w:cs="Times New Roman"/>
          <w:sz w:val="28"/>
          <w:szCs w:val="28"/>
        </w:rPr>
        <w:t xml:space="preserve"> гранульовану масу крохмалю пре</w:t>
      </w:r>
      <w:r w:rsidRPr="00CF22AE">
        <w:rPr>
          <w:rFonts w:ascii="Times New Roman" w:eastAsia="Times New Roman" w:hAnsi="Times New Roman" w:cs="Times New Roman"/>
          <w:sz w:val="28"/>
          <w:szCs w:val="28"/>
        </w:rPr>
        <w:t>желатинізован</w:t>
      </w:r>
      <w:r w:rsidR="00A23181">
        <w:rPr>
          <w:rFonts w:ascii="Times New Roman" w:eastAsia="Times New Roman" w:hAnsi="Times New Roman" w:cs="Times New Roman"/>
          <w:sz w:val="28"/>
          <w:szCs w:val="28"/>
        </w:rPr>
        <w:t>ог</w:t>
      </w:r>
      <w:r w:rsidRPr="00CF22AE">
        <w:rPr>
          <w:rFonts w:ascii="Times New Roman" w:eastAsia="Times New Roman" w:hAnsi="Times New Roman" w:cs="Times New Roman"/>
          <w:sz w:val="28"/>
          <w:szCs w:val="28"/>
        </w:rPr>
        <w:t>о. При використанні карбоксиметил крохмаль натрію та крохмальгліколят натрію значення насипної густини зменшується і становить 0,34 г/мл та 0,36 г/мл відповідно.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Дисперсійний аналіз показав, що і на насипну густину після усадки впливає тільки фактор В – введення розпушувальних речовин.</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 рис.3.14. наведено вплив розпушувачів на насипну густину після усадки.</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464907BA" wp14:editId="7ABA5065">
            <wp:extent cx="5486400" cy="2753833"/>
            <wp:effectExtent l="0" t="0" r="19050" b="27940"/>
            <wp:docPr id="9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3.14 –</w:t>
      </w:r>
      <w:r w:rsidRPr="00CF22AE">
        <w:rPr>
          <w:rFonts w:ascii="Times New Roman" w:eastAsia="Times New Roman" w:hAnsi="Times New Roman" w:cs="Times New Roman"/>
          <w:sz w:val="28"/>
          <w:szCs w:val="28"/>
        </w:rPr>
        <w:t xml:space="preserve"> Вплив розпушувачів на насипну густину після усадки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Найбільше значення насипної густини після усадки було отр</w:t>
      </w:r>
      <w:r w:rsidR="004D45D6">
        <w:rPr>
          <w:rFonts w:ascii="Times New Roman" w:eastAsia="Times New Roman" w:hAnsi="Times New Roman" w:cs="Times New Roman"/>
          <w:sz w:val="28"/>
          <w:szCs w:val="28"/>
        </w:rPr>
        <w:t>имано при введенні крохмалю пре</w:t>
      </w:r>
      <w:r w:rsidRPr="00CF22AE">
        <w:rPr>
          <w:rFonts w:ascii="Times New Roman" w:eastAsia="Times New Roman" w:hAnsi="Times New Roman" w:cs="Times New Roman"/>
          <w:sz w:val="28"/>
          <w:szCs w:val="28"/>
        </w:rPr>
        <w:t>желатинізовано</w:t>
      </w:r>
      <w:r w:rsidR="004D45D6">
        <w:rPr>
          <w:rFonts w:ascii="Times New Roman" w:eastAsia="Times New Roman" w:hAnsi="Times New Roman" w:cs="Times New Roman"/>
          <w:sz w:val="28"/>
          <w:szCs w:val="28"/>
        </w:rPr>
        <w:t>го</w:t>
      </w:r>
      <w:r w:rsidRPr="00CF22AE">
        <w:rPr>
          <w:rFonts w:ascii="Times New Roman" w:eastAsia="Times New Roman" w:hAnsi="Times New Roman" w:cs="Times New Roman"/>
          <w:sz w:val="28"/>
          <w:szCs w:val="28"/>
        </w:rPr>
        <w:t xml:space="preserve"> (0,522 г/мл). При використанні карбоксиметил крохмаль натрію та крохмальглікол</w:t>
      </w:r>
      <w:r w:rsidR="004D45D6">
        <w:rPr>
          <w:rFonts w:ascii="Times New Roman" w:eastAsia="Times New Roman" w:hAnsi="Times New Roman" w:cs="Times New Roman"/>
          <w:sz w:val="28"/>
          <w:szCs w:val="28"/>
        </w:rPr>
        <w:t>я</w:t>
      </w:r>
      <w:r w:rsidRPr="00CF22AE">
        <w:rPr>
          <w:rFonts w:ascii="Times New Roman" w:eastAsia="Times New Roman" w:hAnsi="Times New Roman" w:cs="Times New Roman"/>
          <w:sz w:val="28"/>
          <w:szCs w:val="28"/>
        </w:rPr>
        <w:t>т натрію значення доліджувального показника зменшувалося і становило 0,37 г/мл та 0,39 г/мл відповідно.</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Важливим показником якості гранул є – крихкість гранул. Згідно отриманих результатів дисперсійного аналізу на даний показний найбільше чинить вплив фактор А </w:t>
      </w:r>
      <w:r w:rsidR="005A475B">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rPr>
        <w:t xml:space="preserve"> група наповнювачів. Згідно наведеного рис. 3.15. при застосуванні МЦ 200+лактоза (1:1) отримуємо найбільш стійкіші гранули, при цьому було втрачено лише 1,47 % маси гранул. При введенні у гранульовану масу МКЦ 101+лактоза (1:1) втрати в масі збільшуються до 1,57 %. Найбільш крихкими виявилися гранули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які містили чисту лактозу (7,64 %).</w:t>
      </w:r>
    </w:p>
    <w:p w:rsidR="00425A08" w:rsidRPr="00CF22AE" w:rsidRDefault="006400F2" w:rsidP="005A475B">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extent cx="5486400" cy="3200400"/>
            <wp:effectExtent l="0" t="0" r="19050" b="19050"/>
            <wp:docPr id="41" name="Диаграмма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w:t>
      </w:r>
      <w:r w:rsidRPr="00CF22AE">
        <w:rPr>
          <w:rFonts w:ascii="Times New Roman" w:eastAsia="Times New Roman" w:hAnsi="Times New Roman" w:cs="Times New Roman"/>
          <w:sz w:val="28"/>
          <w:szCs w:val="28"/>
        </w:rPr>
        <w:t xml:space="preserve">15.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наповнювачів на крихкість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w:t>
      </w:r>
    </w:p>
    <w:p w:rsidR="005A475B"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Результати дисперсійного аналізу при досліджені розпадання гранул показали, що всі три факторів виявились статично значущими і суттєво впливають на розпадання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С &gt; А&gt; В.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Вплив фактору С на розпадання досліджу</w:t>
      </w:r>
      <w:r w:rsidR="00E15A39" w:rsidRPr="00CF22AE">
        <w:rPr>
          <w:rFonts w:ascii="Times New Roman" w:eastAsia="Times New Roman" w:hAnsi="Times New Roman" w:cs="Times New Roman"/>
          <w:sz w:val="28"/>
          <w:szCs w:val="28"/>
        </w:rPr>
        <w:t>вали гранул наведено на рисунку</w:t>
      </w:r>
      <w:r w:rsidRPr="00CF22AE">
        <w:rPr>
          <w:rFonts w:ascii="Times New Roman" w:eastAsia="Times New Roman" w:hAnsi="Times New Roman" w:cs="Times New Roman"/>
          <w:sz w:val="28"/>
          <w:szCs w:val="28"/>
        </w:rPr>
        <w:t xml:space="preserve"> 3.16.</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1F8579D6" wp14:editId="5E9FD63D">
            <wp:extent cx="5143500" cy="2743200"/>
            <wp:effectExtent l="0" t="0" r="19050" b="19050"/>
            <wp:docPr id="33" name="Диаграмма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E15A39"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3.16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ковзних речовин на розпадання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Згідно наведе</w:t>
      </w:r>
      <w:r w:rsidR="004D45D6">
        <w:rPr>
          <w:rFonts w:ascii="Times New Roman" w:eastAsia="Times New Roman" w:hAnsi="Times New Roman" w:cs="Times New Roman"/>
          <w:sz w:val="28"/>
          <w:szCs w:val="28"/>
        </w:rPr>
        <w:t>но рис. 3.16, використання неусі</w:t>
      </w:r>
      <w:r w:rsidRPr="00CF22AE">
        <w:rPr>
          <w:rFonts w:ascii="Times New Roman" w:eastAsia="Times New Roman" w:hAnsi="Times New Roman" w:cs="Times New Roman"/>
          <w:sz w:val="28"/>
          <w:szCs w:val="28"/>
        </w:rPr>
        <w:t>ліну US 2 дозволяє отримати швидкорозчинні гранули, час розпадання яких становив 17,3 с. При застосуванні аеросилу, час розпадання збільшувався до 40,2 с. Найповільніше розпадалися гранули, що містили просолв  90 (77,47 с).</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При веденні лактози у гранули час розпадання зменшувався до 11,9 с. При застосуванні суміші лактози з різними марками МКЦ уповільнювався час розпадання гранул, так при використанні МКЦ 101+лактоза (1:1) гранули розпадалися до 52,23 с. , а при введенні МКЦ 200+лактоза (1:1) – час розпадання був 70,84 с.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4EAD7A6" wp14:editId="305FCDF4">
            <wp:extent cx="5486400" cy="3200400"/>
            <wp:effectExtent l="0" t="0" r="19050" b="19050"/>
            <wp:docPr id="100" name="Диаграмма 3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3.17 – </w:t>
      </w:r>
      <w:r w:rsidRPr="00CF22AE">
        <w:rPr>
          <w:rFonts w:ascii="Times New Roman" w:eastAsia="Times New Roman" w:hAnsi="Times New Roman" w:cs="Times New Roman"/>
          <w:sz w:val="28"/>
          <w:szCs w:val="28"/>
        </w:rPr>
        <w:t xml:space="preserve">Вплив наповнювачів на розпадання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 рис.3.18. наведено вплив розпушувачів на час розпадання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666CCA87" wp14:editId="76A2826B">
            <wp:extent cx="5486400" cy="3200400"/>
            <wp:effectExtent l="0" t="0" r="19050" b="19050"/>
            <wp:docPr id="101"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3.18.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Вплив розпушувачів на розпадання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Вивчення в ряду розпушувачів (фактор В) дозволило побудувати наступний ряд переваг: крохмальгліколят натрію &gt; карбоксиметил</w:t>
      </w:r>
      <w:r w:rsidR="004D45D6">
        <w:rPr>
          <w:rFonts w:ascii="Times New Roman" w:eastAsia="Times New Roman" w:hAnsi="Times New Roman" w:cs="Times New Roman"/>
          <w:sz w:val="28"/>
          <w:szCs w:val="28"/>
        </w:rPr>
        <w:t xml:space="preserve"> крохмаль натрію &gt; крохмаль пре</w:t>
      </w:r>
      <w:r w:rsidRPr="00CF22AE">
        <w:rPr>
          <w:rFonts w:ascii="Times New Roman" w:eastAsia="Times New Roman" w:hAnsi="Times New Roman" w:cs="Times New Roman"/>
          <w:sz w:val="28"/>
          <w:szCs w:val="28"/>
        </w:rPr>
        <w:t>желатинізований, тобто найшвидше розпадалися гранули, які містили у своєму складі крохмальгліколят натрію (17,18 с.). Час розпадання зростав до 42,69 с. та до 75,1 с. при введені у гранули карбоксимети</w:t>
      </w:r>
      <w:r w:rsidR="004D45D6">
        <w:rPr>
          <w:rFonts w:ascii="Times New Roman" w:eastAsia="Times New Roman" w:hAnsi="Times New Roman" w:cs="Times New Roman"/>
          <w:sz w:val="28"/>
          <w:szCs w:val="28"/>
        </w:rPr>
        <w:t>л крохаль натрію та кромаль пре</w:t>
      </w:r>
      <w:r w:rsidRPr="00CF22AE">
        <w:rPr>
          <w:rFonts w:ascii="Times New Roman" w:eastAsia="Times New Roman" w:hAnsi="Times New Roman" w:cs="Times New Roman"/>
          <w:sz w:val="28"/>
          <w:szCs w:val="28"/>
        </w:rPr>
        <w:t xml:space="preserve">желатинізований відповідно.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Результати досліджень показали, що при вивченні впливу ДР на фармако-технологічні показники якості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отримано різні ряди переваг, що не дозволило обрати оптимальні ДР для наступного етапу досліджень.</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Тому нами було прийнято рішення використати узагальнений показник – функцію бажаності з метою вибору найкращих ДР для наступного експерименту.</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Отримані результати функції бажаності піддавали дисперсійному аналізу. На основі отриманих значень для рівнів вивчених факторів з використанням функції бажаності обирали оптимальні ДР з кожної групи.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 рис. 3.19 наведено вплив наповнювачів на функцію бажаності.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537239DB" wp14:editId="6022717B">
            <wp:extent cx="5486400" cy="3200400"/>
            <wp:effectExtent l="0" t="0" r="19050" b="19050"/>
            <wp:docPr id="102" name="Диаграмма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3.19</w:t>
      </w:r>
      <w:r w:rsidR="001B4373">
        <w:rPr>
          <w:rFonts w:ascii="Times New Roman" w:eastAsia="Times New Roman" w:hAnsi="Times New Roman" w:cs="Times New Roman"/>
          <w:sz w:val="28"/>
          <w:szCs w:val="28"/>
        </w:rPr>
        <w:t xml:space="preserve"> – </w:t>
      </w:r>
      <w:r w:rsidRPr="00CF22AE">
        <w:rPr>
          <w:rFonts w:ascii="Times New Roman" w:eastAsia="Times New Roman" w:hAnsi="Times New Roman" w:cs="Times New Roman"/>
          <w:sz w:val="28"/>
          <w:szCs w:val="28"/>
        </w:rPr>
        <w:t xml:space="preserve"> Вплив наповнювачів на функцію бажаності</w:t>
      </w:r>
    </w:p>
    <w:p w:rsidR="005A475B" w:rsidRDefault="005A475B"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Згідно рис. 3.19, найкраще значення функції бажаності забезпечує МКЦ  200+ лактоза (1:1) (0,73), яка має перевагу над лактозою (0,44) та МКЦ 101+лактоза (1:1) (0,41).</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Вплив фактора В на функцію бажаності (рис. 3.20.) можна відобразити в наступ</w:t>
      </w:r>
      <w:r w:rsidR="004D45D6">
        <w:rPr>
          <w:rFonts w:ascii="Times New Roman" w:eastAsia="Times New Roman" w:hAnsi="Times New Roman" w:cs="Times New Roman"/>
          <w:sz w:val="28"/>
          <w:szCs w:val="28"/>
        </w:rPr>
        <w:t>ній послідовності: крохмаль пре</w:t>
      </w:r>
      <w:r w:rsidRPr="00CF22AE">
        <w:rPr>
          <w:rFonts w:ascii="Times New Roman" w:eastAsia="Times New Roman" w:hAnsi="Times New Roman" w:cs="Times New Roman"/>
          <w:sz w:val="28"/>
          <w:szCs w:val="28"/>
        </w:rPr>
        <w:t xml:space="preserve">желатинізований (0,66) &gt;карбоксиметил крохмаль натрію (0,52) &gt; крохмальгліколят натрію (0,41).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4685D3E" wp14:editId="52CDDA08">
            <wp:extent cx="5486400" cy="3200400"/>
            <wp:effectExtent l="0" t="0" r="19050" b="19050"/>
            <wp:docPr id="103" name="Диаграмма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3.20 – </w:t>
      </w:r>
      <w:r w:rsidRPr="00CF22AE">
        <w:rPr>
          <w:rFonts w:ascii="Times New Roman" w:eastAsia="Times New Roman" w:hAnsi="Times New Roman" w:cs="Times New Roman"/>
          <w:sz w:val="28"/>
          <w:szCs w:val="28"/>
        </w:rPr>
        <w:t xml:space="preserve"> Вплив розпушувачів на функцію бажаності</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Найкращі показники функції бажаності серед ковзних реч</w:t>
      </w:r>
      <w:r w:rsidR="004D45D6">
        <w:rPr>
          <w:rFonts w:ascii="Times New Roman" w:eastAsia="Times New Roman" w:hAnsi="Times New Roman" w:cs="Times New Roman"/>
          <w:sz w:val="28"/>
          <w:szCs w:val="28"/>
        </w:rPr>
        <w:t>овин (фактор С) забезпечує неусі</w:t>
      </w:r>
      <w:r w:rsidRPr="00CF22AE">
        <w:rPr>
          <w:rFonts w:ascii="Times New Roman" w:eastAsia="Times New Roman" w:hAnsi="Times New Roman" w:cs="Times New Roman"/>
          <w:sz w:val="28"/>
          <w:szCs w:val="28"/>
        </w:rPr>
        <w:t xml:space="preserve">лін US 2 (0,71), який має переваги над аеросилом (0,54) та просолвом 90 (0,33).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E323BD3" wp14:editId="282DDC1B">
            <wp:extent cx="5331124" cy="2924354"/>
            <wp:effectExtent l="0" t="0" r="22225" b="9525"/>
            <wp:docPr id="104"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3.21 – </w:t>
      </w:r>
      <w:r w:rsidRPr="00CF22AE">
        <w:rPr>
          <w:rFonts w:ascii="Times New Roman" w:eastAsia="Times New Roman" w:hAnsi="Times New Roman" w:cs="Times New Roman"/>
          <w:sz w:val="28"/>
          <w:szCs w:val="28"/>
        </w:rPr>
        <w:t xml:space="preserve"> Вплив ковзних речовин на функцію бажаності</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Отже, проаналізувавши отримані результати впливу фактору А по узагальненому показнику та впливу на основі фармако-технологічні показники якості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xml:space="preserve">  для подальших досліджень було відібрано наступну речовину – суміш у співвідношення 1:1 МКЦ 200+лактоза (покращує показники текучості гранул, коефіцієнта Гауснера, а також один з важливих </w:t>
      </w:r>
      <w:r w:rsidR="00982F04">
        <w:rPr>
          <w:rFonts w:ascii="Times New Roman" w:eastAsia="Times New Roman" w:hAnsi="Times New Roman" w:cs="Times New Roman"/>
          <w:sz w:val="28"/>
          <w:szCs w:val="28"/>
        </w:rPr>
        <w:t>показників при виборі оптимальних ДР</w:t>
      </w:r>
      <w:r w:rsidRPr="00CF22AE">
        <w:rPr>
          <w:rFonts w:ascii="Times New Roman" w:eastAsia="Times New Roman" w:hAnsi="Times New Roman" w:cs="Times New Roman"/>
          <w:sz w:val="28"/>
          <w:szCs w:val="28"/>
        </w:rPr>
        <w:t xml:space="preserve">– крихкість гранул).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Проаналізувавши отримані результати, із групи розпушувачів для подальшого вивчення було </w:t>
      </w:r>
      <w:r w:rsidR="004D45D6">
        <w:rPr>
          <w:rFonts w:ascii="Times New Roman" w:eastAsia="Times New Roman" w:hAnsi="Times New Roman" w:cs="Times New Roman"/>
          <w:sz w:val="28"/>
          <w:szCs w:val="28"/>
        </w:rPr>
        <w:t>вирішено відібрати крохмаль пре</w:t>
      </w:r>
      <w:r w:rsidRPr="00CF22AE">
        <w:rPr>
          <w:rFonts w:ascii="Times New Roman" w:eastAsia="Times New Roman" w:hAnsi="Times New Roman" w:cs="Times New Roman"/>
          <w:sz w:val="28"/>
          <w:szCs w:val="28"/>
        </w:rPr>
        <w:t xml:space="preserve">желатинізований. Ця ДР покращує текучість гранул, кут природнього укосу, насипну густину, зменшує крихкість гранул та втрату маси при висушуванні. </w:t>
      </w:r>
    </w:p>
    <w:p w:rsidR="00425A08" w:rsidRPr="00CF22AE" w:rsidRDefault="00425A08" w:rsidP="00A23181">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Серед ковзних речовин найкраще значення функції бажаності забезпечує не</w:t>
      </w:r>
      <w:r w:rsidR="004D45D6">
        <w:rPr>
          <w:rFonts w:ascii="Times New Roman" w:eastAsia="Times New Roman" w:hAnsi="Times New Roman" w:cs="Times New Roman"/>
          <w:sz w:val="28"/>
          <w:szCs w:val="28"/>
        </w:rPr>
        <w:t>усі</w:t>
      </w:r>
      <w:r w:rsidRPr="00CF22AE">
        <w:rPr>
          <w:rFonts w:ascii="Times New Roman" w:eastAsia="Times New Roman" w:hAnsi="Times New Roman" w:cs="Times New Roman"/>
          <w:sz w:val="28"/>
          <w:szCs w:val="28"/>
        </w:rPr>
        <w:t>лін US 2. Ця речовина також покращує наступні показники якості: коефіці</w:t>
      </w:r>
      <w:r w:rsidR="00A23181">
        <w:rPr>
          <w:rFonts w:ascii="Times New Roman" w:eastAsia="Times New Roman" w:hAnsi="Times New Roman" w:cs="Times New Roman"/>
          <w:sz w:val="28"/>
          <w:szCs w:val="28"/>
        </w:rPr>
        <w:t>єнт Гауснера, крихкість гранул.</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3.4. Розробка оптимальн</w:t>
      </w:r>
      <w:r w:rsidR="00982F04">
        <w:rPr>
          <w:rFonts w:ascii="Times New Roman" w:eastAsia="Times New Roman" w:hAnsi="Times New Roman" w:cs="Times New Roman"/>
          <w:sz w:val="28"/>
          <w:szCs w:val="28"/>
        </w:rPr>
        <w:t>их</w:t>
      </w:r>
      <w:r w:rsidRPr="00CF22AE">
        <w:rPr>
          <w:rFonts w:ascii="Times New Roman" w:eastAsia="Times New Roman" w:hAnsi="Times New Roman" w:cs="Times New Roman"/>
          <w:sz w:val="28"/>
          <w:szCs w:val="28"/>
        </w:rPr>
        <w:t xml:space="preserve"> </w:t>
      </w:r>
      <w:r w:rsidR="00982F04">
        <w:rPr>
          <w:rFonts w:ascii="Times New Roman" w:eastAsia="Times New Roman" w:hAnsi="Times New Roman" w:cs="Times New Roman"/>
          <w:sz w:val="28"/>
          <w:szCs w:val="28"/>
        </w:rPr>
        <w:t>ДР</w:t>
      </w:r>
      <w:r w:rsidRPr="00CF22AE">
        <w:rPr>
          <w:rFonts w:ascii="Times New Roman" w:eastAsia="Times New Roman" w:hAnsi="Times New Roman" w:cs="Times New Roman"/>
          <w:sz w:val="28"/>
          <w:szCs w:val="28"/>
        </w:rPr>
        <w:t xml:space="preserve"> та технології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Беручи до уваги результати дисперсійного аналізу та функції бажаності, які представлені вище (розділ 3.3) для подальших досліджень було відібрано кращі ДР, кожну із яких вивчали на нижньому та верхньому рівнях.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Для визначення кількості та доцільності вмісту усіх попередньо відібраних ДР використовува</w:t>
      </w:r>
      <w:r w:rsidR="003E1E87">
        <w:rPr>
          <w:rFonts w:ascii="Times New Roman" w:eastAsia="Times New Roman" w:hAnsi="Times New Roman" w:cs="Times New Roman"/>
          <w:sz w:val="28"/>
          <w:szCs w:val="28"/>
        </w:rPr>
        <w:t>вся метод випадкового балансу [46-49</w:t>
      </w:r>
      <w:r w:rsidR="003E1E87" w:rsidRPr="003E1E87">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rPr>
        <w:t>, у якому вивчалися три кількісних факторів на двох рівнях (табл. 3.6).</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Для доведення середньої маси саше, при необхідності, додавали МКЦ 200 відповідно до плану експерименту. </w:t>
      </w:r>
    </w:p>
    <w:p w:rsidR="00425A08" w:rsidRPr="003E1E87" w:rsidRDefault="003E1E87" w:rsidP="003E1E87">
      <w:pPr>
        <w:pStyle w:val="a3"/>
        <w:spacing w:line="360" w:lineRule="auto"/>
        <w:ind w:firstLine="709"/>
        <w:jc w:val="both"/>
        <w:rPr>
          <w:rFonts w:ascii="Times New Roman" w:hAnsi="Times New Roman" w:cs="Times New Roman"/>
          <w:sz w:val="28"/>
          <w:szCs w:val="28"/>
          <w:lang w:eastAsia="ko-KR"/>
        </w:rPr>
      </w:pPr>
      <w:r>
        <w:rPr>
          <w:rFonts w:ascii="Times New Roman" w:eastAsia="Times New Roman" w:hAnsi="Times New Roman" w:cs="Times New Roman"/>
          <w:sz w:val="28"/>
          <w:szCs w:val="28"/>
        </w:rPr>
        <w:t>Таблиця 3.6</w:t>
      </w:r>
      <w:r w:rsidRPr="003E1E87">
        <w:rPr>
          <w:rFonts w:ascii="Times New Roman" w:eastAsia="Times New Roman" w:hAnsi="Times New Roman" w:cs="Times New Roman"/>
          <w:sz w:val="28"/>
          <w:szCs w:val="28"/>
        </w:rPr>
        <w:t xml:space="preserve"> – </w:t>
      </w:r>
      <w:r w:rsidR="00425A08" w:rsidRPr="003E1E87">
        <w:rPr>
          <w:rFonts w:ascii="Times New Roman" w:eastAsia="Times New Roman" w:hAnsi="Times New Roman" w:cs="Times New Roman"/>
          <w:sz w:val="28"/>
          <w:szCs w:val="28"/>
        </w:rPr>
        <w:t xml:space="preserve">Кількісні фактори та їх рівні, які вивчалися при розробці гранул на основі </w:t>
      </w:r>
      <w:r>
        <w:rPr>
          <w:rFonts w:ascii="Times New Roman" w:eastAsia="Times New Roman" w:hAnsi="Times New Roman" w:cs="Times New Roman"/>
          <w:sz w:val="28"/>
          <w:szCs w:val="28"/>
        </w:rPr>
        <w:t>ФППТ</w:t>
      </w:r>
    </w:p>
    <w:tbl>
      <w:tblPr>
        <w:tblStyle w:val="aa"/>
        <w:tblW w:w="0" w:type="auto"/>
        <w:tblLook w:val="04A0" w:firstRow="1" w:lastRow="0" w:firstColumn="1" w:lastColumn="0" w:noHBand="0" w:noVBand="1"/>
      </w:tblPr>
      <w:tblGrid>
        <w:gridCol w:w="6528"/>
        <w:gridCol w:w="1381"/>
        <w:gridCol w:w="1662"/>
      </w:tblGrid>
      <w:tr w:rsidR="00425A08" w:rsidRPr="00CF22AE" w:rsidTr="004D5249">
        <w:tc>
          <w:tcPr>
            <w:tcW w:w="6528" w:type="dxa"/>
            <w:vMerge w:val="restart"/>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Фактор</w:t>
            </w:r>
          </w:p>
        </w:tc>
        <w:tc>
          <w:tcPr>
            <w:tcW w:w="3043" w:type="dxa"/>
            <w:gridSpan w:val="2"/>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Рівень фактора</w:t>
            </w:r>
          </w:p>
        </w:tc>
      </w:tr>
      <w:tr w:rsidR="00425A08" w:rsidRPr="00CF22AE" w:rsidTr="004D5249">
        <w:tc>
          <w:tcPr>
            <w:tcW w:w="0" w:type="auto"/>
            <w:vMerge/>
            <w:tcBorders>
              <w:top w:val="single" w:sz="4" w:space="0" w:color="auto"/>
              <w:left w:val="single" w:sz="4" w:space="0" w:color="auto"/>
              <w:bottom w:val="single" w:sz="4" w:space="0" w:color="auto"/>
              <w:right w:val="single" w:sz="4" w:space="0" w:color="auto"/>
            </w:tcBorders>
            <w:vAlign w:val="center"/>
            <w:hideMark/>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p>
        </w:tc>
        <w:tc>
          <w:tcPr>
            <w:tcW w:w="1381"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Нижній</w:t>
            </w:r>
          </w:p>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w:t>
            </w:r>
          </w:p>
        </w:tc>
        <w:tc>
          <w:tcPr>
            <w:tcW w:w="0" w:type="auto"/>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Верхній</w:t>
            </w:r>
          </w:p>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w:t>
            </w:r>
          </w:p>
        </w:tc>
      </w:tr>
      <w:tr w:rsidR="00425A08" w:rsidRPr="00CF22AE" w:rsidTr="004D5249">
        <w:tc>
          <w:tcPr>
            <w:tcW w:w="6528"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х</w:t>
            </w:r>
            <w:r w:rsidRPr="00CF22AE">
              <w:rPr>
                <w:rFonts w:ascii="Times New Roman" w:eastAsia="Times New Roman" w:hAnsi="Times New Roman" w:cs="Times New Roman"/>
                <w:i/>
                <w:sz w:val="28"/>
                <w:szCs w:val="28"/>
                <w:vertAlign w:val="subscript"/>
              </w:rPr>
              <w:t>1</w:t>
            </w:r>
            <w:r w:rsidRPr="00CF22AE">
              <w:rPr>
                <w:rFonts w:ascii="Times New Roman" w:eastAsia="Times New Roman" w:hAnsi="Times New Roman" w:cs="Times New Roman"/>
                <w:sz w:val="28"/>
                <w:szCs w:val="28"/>
              </w:rPr>
              <w:t xml:space="preserve"> – вміст МКЦ 200 + лактоза(1:1), %</w:t>
            </w:r>
          </w:p>
        </w:tc>
        <w:tc>
          <w:tcPr>
            <w:tcW w:w="1381"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65</w:t>
            </w:r>
          </w:p>
        </w:tc>
        <w:tc>
          <w:tcPr>
            <w:tcW w:w="0" w:type="auto"/>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70</w:t>
            </w:r>
          </w:p>
        </w:tc>
      </w:tr>
      <w:tr w:rsidR="00425A08" w:rsidRPr="00CF22AE" w:rsidTr="004D5249">
        <w:tc>
          <w:tcPr>
            <w:tcW w:w="6528"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х</w:t>
            </w:r>
            <w:r w:rsidRPr="00CF22AE">
              <w:rPr>
                <w:rFonts w:ascii="Times New Roman" w:eastAsia="Times New Roman" w:hAnsi="Times New Roman" w:cs="Times New Roman"/>
                <w:i/>
                <w:sz w:val="28"/>
                <w:szCs w:val="28"/>
                <w:vertAlign w:val="subscript"/>
              </w:rPr>
              <w:t>2</w:t>
            </w:r>
            <w:r w:rsidR="004D45D6">
              <w:rPr>
                <w:rFonts w:ascii="Times New Roman" w:eastAsia="Times New Roman" w:hAnsi="Times New Roman" w:cs="Times New Roman"/>
                <w:sz w:val="28"/>
                <w:szCs w:val="28"/>
              </w:rPr>
              <w:t xml:space="preserve"> – вміст крохмалю пре</w:t>
            </w:r>
            <w:r w:rsidRPr="00CF22AE">
              <w:rPr>
                <w:rFonts w:ascii="Times New Roman" w:eastAsia="Times New Roman" w:hAnsi="Times New Roman" w:cs="Times New Roman"/>
                <w:sz w:val="28"/>
                <w:szCs w:val="28"/>
              </w:rPr>
              <w:t>желатинізований, %</w:t>
            </w:r>
          </w:p>
        </w:tc>
        <w:tc>
          <w:tcPr>
            <w:tcW w:w="1381"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w:t>
            </w:r>
          </w:p>
        </w:tc>
        <w:tc>
          <w:tcPr>
            <w:tcW w:w="0" w:type="auto"/>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w:t>
            </w:r>
          </w:p>
        </w:tc>
      </w:tr>
      <w:tr w:rsidR="00425A08" w:rsidRPr="00CF22AE" w:rsidTr="004D5249">
        <w:tc>
          <w:tcPr>
            <w:tcW w:w="6528"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i/>
                <w:sz w:val="28"/>
                <w:szCs w:val="28"/>
              </w:rPr>
            </w:pPr>
            <w:r w:rsidRPr="00CF22AE">
              <w:rPr>
                <w:rFonts w:ascii="Times New Roman" w:eastAsia="Times New Roman" w:hAnsi="Times New Roman" w:cs="Times New Roman"/>
                <w:i/>
                <w:sz w:val="28"/>
                <w:szCs w:val="28"/>
              </w:rPr>
              <w:t>х</w:t>
            </w:r>
            <w:r w:rsidRPr="00CF22AE">
              <w:rPr>
                <w:rFonts w:ascii="Times New Roman" w:eastAsia="Times New Roman" w:hAnsi="Times New Roman" w:cs="Times New Roman"/>
                <w:i/>
                <w:sz w:val="28"/>
                <w:szCs w:val="28"/>
                <w:vertAlign w:val="subscript"/>
              </w:rPr>
              <w:t>3</w:t>
            </w:r>
            <w:r w:rsidR="004D45D6">
              <w:rPr>
                <w:rFonts w:ascii="Times New Roman" w:eastAsia="Times New Roman" w:hAnsi="Times New Roman" w:cs="Times New Roman"/>
                <w:sz w:val="28"/>
                <w:szCs w:val="28"/>
              </w:rPr>
              <w:t xml:space="preserve"> – вміст неусі</w:t>
            </w:r>
            <w:r w:rsidRPr="00CF22AE">
              <w:rPr>
                <w:rFonts w:ascii="Times New Roman" w:eastAsia="Times New Roman" w:hAnsi="Times New Roman" w:cs="Times New Roman"/>
                <w:sz w:val="28"/>
                <w:szCs w:val="28"/>
              </w:rPr>
              <w:t>ліну US 2, %</w:t>
            </w:r>
          </w:p>
        </w:tc>
        <w:tc>
          <w:tcPr>
            <w:tcW w:w="1381" w:type="dxa"/>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w:t>
            </w:r>
          </w:p>
        </w:tc>
        <w:tc>
          <w:tcPr>
            <w:tcW w:w="0" w:type="auto"/>
            <w:tcBorders>
              <w:top w:val="single" w:sz="4" w:space="0" w:color="auto"/>
              <w:left w:val="single" w:sz="4" w:space="0" w:color="auto"/>
              <w:bottom w:val="single" w:sz="4" w:space="0" w:color="auto"/>
              <w:right w:val="single" w:sz="4" w:space="0" w:color="auto"/>
            </w:tcBorders>
            <w:hideMark/>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План експерименту та результати дослідження наведені у табл. 3.7.</w:t>
      </w:r>
    </w:p>
    <w:p w:rsidR="00425A08" w:rsidRPr="003E1E87" w:rsidRDefault="003E1E87" w:rsidP="003E1E87">
      <w:pPr>
        <w:pStyle w:val="a3"/>
        <w:spacing w:line="360" w:lineRule="auto"/>
        <w:ind w:firstLine="709"/>
        <w:jc w:val="both"/>
        <w:rPr>
          <w:rFonts w:ascii="Times New Roman" w:eastAsia="Times New Roman" w:hAnsi="Times New Roman" w:cs="Times New Roman"/>
          <w:sz w:val="28"/>
          <w:szCs w:val="28"/>
        </w:rPr>
      </w:pPr>
      <w:bookmarkStart w:id="1" w:name="_Hlk93913398"/>
      <w:r>
        <w:rPr>
          <w:rFonts w:ascii="Times New Roman" w:eastAsia="Times New Roman" w:hAnsi="Times New Roman" w:cs="Times New Roman"/>
          <w:sz w:val="28"/>
          <w:szCs w:val="28"/>
        </w:rPr>
        <w:t xml:space="preserve">Таблиця 3.7 – </w:t>
      </w:r>
      <w:r w:rsidR="00425A08" w:rsidRPr="003E1E87">
        <w:rPr>
          <w:rFonts w:ascii="Times New Roman" w:eastAsia="Times New Roman" w:hAnsi="Times New Roman" w:cs="Times New Roman"/>
          <w:sz w:val="28"/>
          <w:szCs w:val="28"/>
        </w:rPr>
        <w:t>Матриця планування експерименту та результати досліджень гранул на основі фітосубстанції пирію повзучого трави</w:t>
      </w:r>
    </w:p>
    <w:tbl>
      <w:tblPr>
        <w:tblStyle w:val="aa"/>
        <w:tblW w:w="0" w:type="auto"/>
        <w:tblLook w:val="04A0" w:firstRow="1" w:lastRow="0" w:firstColumn="1" w:lastColumn="0" w:noHBand="0" w:noVBand="1"/>
      </w:tblPr>
      <w:tblGrid>
        <w:gridCol w:w="797"/>
        <w:gridCol w:w="797"/>
        <w:gridCol w:w="797"/>
        <w:gridCol w:w="797"/>
        <w:gridCol w:w="797"/>
        <w:gridCol w:w="798"/>
        <w:gridCol w:w="798"/>
        <w:gridCol w:w="798"/>
        <w:gridCol w:w="798"/>
        <w:gridCol w:w="798"/>
        <w:gridCol w:w="798"/>
        <w:gridCol w:w="798"/>
      </w:tblGrid>
      <w:tr w:rsidR="00425A08" w:rsidRPr="005A475B" w:rsidTr="004D5249">
        <w:tc>
          <w:tcPr>
            <w:tcW w:w="797" w:type="dxa"/>
            <w:vMerge w:val="restart"/>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 xml:space="preserve">№ серії </w:t>
            </w:r>
          </w:p>
        </w:tc>
        <w:tc>
          <w:tcPr>
            <w:tcW w:w="2391" w:type="dxa"/>
            <w:gridSpan w:val="3"/>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 xml:space="preserve">Фактор </w:t>
            </w:r>
          </w:p>
        </w:tc>
        <w:tc>
          <w:tcPr>
            <w:tcW w:w="6383" w:type="dxa"/>
            <w:gridSpan w:val="8"/>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Відгук</w:t>
            </w:r>
          </w:p>
        </w:tc>
      </w:tr>
      <w:tr w:rsidR="00425A08" w:rsidRPr="005A475B" w:rsidTr="004D5249">
        <w:tc>
          <w:tcPr>
            <w:tcW w:w="797" w:type="dxa"/>
            <w:vMerge/>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х</w:t>
            </w:r>
            <w:r w:rsidRPr="005A475B">
              <w:rPr>
                <w:rFonts w:ascii="Times New Roman" w:eastAsia="Times New Roman" w:hAnsi="Times New Roman" w:cs="Times New Roman"/>
                <w:b/>
                <w:sz w:val="24"/>
                <w:szCs w:val="24"/>
                <w:vertAlign w:val="subscript"/>
              </w:rPr>
              <w:t>1</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х</w:t>
            </w:r>
            <w:r w:rsidRPr="005A475B">
              <w:rPr>
                <w:rFonts w:ascii="Times New Roman" w:eastAsia="Times New Roman" w:hAnsi="Times New Roman" w:cs="Times New Roman"/>
                <w:b/>
                <w:sz w:val="24"/>
                <w:szCs w:val="24"/>
                <w:vertAlign w:val="subscript"/>
              </w:rPr>
              <w:t>2</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х</w:t>
            </w:r>
            <w:r w:rsidRPr="005A475B">
              <w:rPr>
                <w:rFonts w:ascii="Times New Roman" w:eastAsia="Times New Roman" w:hAnsi="Times New Roman" w:cs="Times New Roman"/>
                <w:b/>
                <w:sz w:val="24"/>
                <w:szCs w:val="24"/>
                <w:vertAlign w:val="subscript"/>
              </w:rPr>
              <w:t>3</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1</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4</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5</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у</w:t>
            </w:r>
            <w:r w:rsidRPr="005A475B">
              <w:rPr>
                <w:rFonts w:ascii="Times New Roman" w:eastAsia="Times New Roman" w:hAnsi="Times New Roman" w:cs="Times New Roman"/>
                <w:b/>
                <w:sz w:val="24"/>
                <w:szCs w:val="24"/>
                <w:vertAlign w:val="subscript"/>
              </w:rPr>
              <w:t>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vertAlign w:val="subscript"/>
              </w:rPr>
            </w:pPr>
            <w:r w:rsidRPr="005A475B">
              <w:rPr>
                <w:rFonts w:ascii="Times New Roman" w:eastAsia="Times New Roman" w:hAnsi="Times New Roman" w:cs="Times New Roman"/>
                <w:b/>
                <w:sz w:val="24"/>
                <w:szCs w:val="24"/>
              </w:rPr>
              <w:t>y</w:t>
            </w:r>
            <w:r w:rsidRPr="005A475B">
              <w:rPr>
                <w:rFonts w:ascii="Times New Roman" w:eastAsia="Times New Roman" w:hAnsi="Times New Roman" w:cs="Times New Roman"/>
                <w:b/>
                <w:sz w:val="24"/>
                <w:szCs w:val="24"/>
                <w:vertAlign w:val="subscript"/>
              </w:rPr>
              <w:t>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D</w:t>
            </w:r>
          </w:p>
        </w:tc>
      </w:tr>
      <w:tr w:rsidR="00425A08" w:rsidRPr="005A475B" w:rsidTr="004D5249">
        <w:tc>
          <w:tcPr>
            <w:tcW w:w="797" w:type="dxa"/>
          </w:tcPr>
          <w:p w:rsidR="00425A08" w:rsidRPr="005A475B" w:rsidRDefault="004D45D6"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1</w:t>
            </w:r>
            <w:r w:rsidR="00425A08" w:rsidRPr="005A475B">
              <w:rPr>
                <w:rFonts w:ascii="Times New Roman" w:eastAsia="Times New Roman" w:hAnsi="Times New Roman" w:cs="Times New Roman"/>
                <w:b/>
                <w:sz w:val="24"/>
                <w:szCs w:val="24"/>
              </w:rPr>
              <w:t>1</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1,85</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22,52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0,346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1,21</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45,03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0,66</w:t>
            </w:r>
          </w:p>
        </w:tc>
      </w:tr>
      <w:tr w:rsidR="00425A08" w:rsidRPr="005A475B" w:rsidTr="004D5249">
        <w:tc>
          <w:tcPr>
            <w:tcW w:w="797" w:type="dxa"/>
          </w:tcPr>
          <w:p w:rsidR="00425A08" w:rsidRPr="005A475B" w:rsidRDefault="004D45D6"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2</w:t>
            </w:r>
            <w:r w:rsidR="00425A08" w:rsidRPr="005A475B">
              <w:rPr>
                <w:rFonts w:ascii="Times New Roman" w:eastAsia="Times New Roman" w:hAnsi="Times New Roman" w:cs="Times New Roman"/>
                <w:b/>
                <w:sz w:val="24"/>
                <w:szCs w:val="24"/>
              </w:rPr>
              <w:t>2</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2,38</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24,68</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1,10</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0,353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0,416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2,98</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36,45</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0,46</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3</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2,64</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23,27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0,375</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1,29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48,89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0,32</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4</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2,27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27,09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1,07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0,318</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0,341</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2,51</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19,16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0,45</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5</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2,26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26,07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1,17</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0,350</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1,09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29,29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0,55</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6</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23,43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1,06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0,406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0,79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41,11</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0,79</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7</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1,79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23,26</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1,14</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0,339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0,389</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2,34</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25,53</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0,76</w:t>
            </w:r>
          </w:p>
        </w:tc>
      </w:tr>
      <w:tr w:rsidR="00425A08" w:rsidRPr="005A475B" w:rsidTr="004D5249">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8</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b/>
                <w:sz w:val="24"/>
                <w:szCs w:val="24"/>
              </w:rPr>
            </w:pPr>
            <w:r w:rsidRPr="005A475B">
              <w:rPr>
                <w:rFonts w:ascii="Times New Roman" w:eastAsia="Times New Roman" w:hAnsi="Times New Roman" w:cs="Times New Roman"/>
                <w:b/>
                <w:sz w:val="24"/>
                <w:szCs w:val="24"/>
              </w:rPr>
              <w:t>-</w:t>
            </w:r>
          </w:p>
        </w:tc>
        <w:tc>
          <w:tcPr>
            <w:tcW w:w="797"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2,12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24,10</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1,18</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0,322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0,380</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1,55</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31,22</w:t>
            </w:r>
          </w:p>
        </w:tc>
        <w:tc>
          <w:tcPr>
            <w:tcW w:w="798" w:type="dxa"/>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0,53</w:t>
            </w:r>
          </w:p>
        </w:tc>
      </w:tr>
      <w:tr w:rsidR="00425A08" w:rsidRPr="005A475B" w:rsidTr="004D5249">
        <w:tc>
          <w:tcPr>
            <w:tcW w:w="9571" w:type="dxa"/>
            <w:gridSpan w:val="12"/>
          </w:tcPr>
          <w:p w:rsidR="00425A08" w:rsidRPr="005A475B" w:rsidRDefault="00425A08" w:rsidP="005A475B">
            <w:pPr>
              <w:pStyle w:val="a3"/>
              <w:spacing w:line="240" w:lineRule="atLeast"/>
              <w:jc w:val="center"/>
              <w:rPr>
                <w:rFonts w:ascii="Times New Roman" w:eastAsia="Times New Roman" w:hAnsi="Times New Roman" w:cs="Times New Roman"/>
                <w:sz w:val="24"/>
                <w:szCs w:val="24"/>
              </w:rPr>
            </w:pPr>
            <w:r w:rsidRPr="005A475B">
              <w:rPr>
                <w:rFonts w:ascii="Times New Roman" w:eastAsia="Times New Roman" w:hAnsi="Times New Roman" w:cs="Times New Roman"/>
                <w:sz w:val="24"/>
                <w:szCs w:val="24"/>
              </w:rPr>
              <w:t>Примітки: у</w:t>
            </w:r>
            <w:r w:rsidRPr="005A475B">
              <w:rPr>
                <w:rFonts w:ascii="Times New Roman" w:eastAsia="Times New Roman" w:hAnsi="Times New Roman" w:cs="Times New Roman"/>
                <w:sz w:val="24"/>
                <w:szCs w:val="24"/>
                <w:vertAlign w:val="subscript"/>
              </w:rPr>
              <w:t>1</w:t>
            </w:r>
            <w:r w:rsidRPr="005A475B">
              <w:rPr>
                <w:rFonts w:ascii="Times New Roman" w:eastAsia="Times New Roman" w:hAnsi="Times New Roman" w:cs="Times New Roman"/>
                <w:sz w:val="24"/>
                <w:szCs w:val="24"/>
              </w:rPr>
              <w:t xml:space="preserve"> – втрата маси при висушуванні, %; у</w:t>
            </w:r>
            <w:r w:rsidRPr="005A475B">
              <w:rPr>
                <w:rFonts w:ascii="Times New Roman" w:eastAsia="Times New Roman" w:hAnsi="Times New Roman" w:cs="Times New Roman"/>
                <w:sz w:val="24"/>
                <w:szCs w:val="24"/>
                <w:vertAlign w:val="subscript"/>
              </w:rPr>
              <w:t>2</w:t>
            </w:r>
            <w:r w:rsidRPr="005A475B">
              <w:rPr>
                <w:rFonts w:ascii="Times New Roman" w:eastAsia="Times New Roman" w:hAnsi="Times New Roman" w:cs="Times New Roman"/>
                <w:sz w:val="24"/>
                <w:szCs w:val="24"/>
              </w:rPr>
              <w:t xml:space="preserve"> – текучість гранул, 100 г/с;  у</w:t>
            </w:r>
            <w:r w:rsidRPr="005A475B">
              <w:rPr>
                <w:rFonts w:ascii="Times New Roman" w:eastAsia="Times New Roman" w:hAnsi="Times New Roman" w:cs="Times New Roman"/>
                <w:sz w:val="24"/>
                <w:szCs w:val="24"/>
                <w:vertAlign w:val="subscript"/>
              </w:rPr>
              <w:t>3</w:t>
            </w:r>
            <w:r w:rsidRPr="005A475B">
              <w:rPr>
                <w:rFonts w:ascii="Times New Roman" w:eastAsia="Times New Roman" w:hAnsi="Times New Roman" w:cs="Times New Roman"/>
                <w:sz w:val="24"/>
                <w:szCs w:val="24"/>
              </w:rPr>
              <w:t xml:space="preserve"> – коефіцієнт Гауснера;  у</w:t>
            </w:r>
            <w:r w:rsidRPr="005A475B">
              <w:rPr>
                <w:rFonts w:ascii="Times New Roman" w:eastAsia="Times New Roman" w:hAnsi="Times New Roman" w:cs="Times New Roman"/>
                <w:sz w:val="24"/>
                <w:szCs w:val="24"/>
                <w:vertAlign w:val="subscript"/>
              </w:rPr>
              <w:t xml:space="preserve">4 </w:t>
            </w:r>
            <w:r w:rsidRPr="005A475B">
              <w:rPr>
                <w:rFonts w:ascii="Times New Roman" w:eastAsia="Times New Roman" w:hAnsi="Times New Roman" w:cs="Times New Roman"/>
                <w:sz w:val="24"/>
                <w:szCs w:val="24"/>
              </w:rPr>
              <w:t>– насипна густина, г/см</w:t>
            </w:r>
            <w:r w:rsidRPr="005A475B">
              <w:rPr>
                <w:rFonts w:ascii="Times New Roman" w:eastAsia="Times New Roman" w:hAnsi="Times New Roman" w:cs="Times New Roman"/>
                <w:sz w:val="24"/>
                <w:szCs w:val="24"/>
                <w:vertAlign w:val="superscript"/>
              </w:rPr>
              <w:t>3</w:t>
            </w:r>
            <w:r w:rsidRPr="005A475B">
              <w:rPr>
                <w:rFonts w:ascii="Times New Roman" w:eastAsia="Times New Roman" w:hAnsi="Times New Roman" w:cs="Times New Roman"/>
                <w:sz w:val="24"/>
                <w:szCs w:val="24"/>
              </w:rPr>
              <w:t>; у</w:t>
            </w:r>
            <w:r w:rsidRPr="005A475B">
              <w:rPr>
                <w:rFonts w:ascii="Times New Roman" w:eastAsia="Times New Roman" w:hAnsi="Times New Roman" w:cs="Times New Roman"/>
                <w:sz w:val="24"/>
                <w:szCs w:val="24"/>
                <w:vertAlign w:val="subscript"/>
              </w:rPr>
              <w:t>5</w:t>
            </w:r>
            <w:r w:rsidRPr="005A475B">
              <w:rPr>
                <w:rFonts w:ascii="Times New Roman" w:eastAsia="Times New Roman" w:hAnsi="Times New Roman" w:cs="Times New Roman"/>
                <w:sz w:val="24"/>
                <w:szCs w:val="24"/>
              </w:rPr>
              <w:t>– насипна густина після усадки, г/см</w:t>
            </w:r>
            <w:r w:rsidRPr="005A475B">
              <w:rPr>
                <w:rFonts w:ascii="Times New Roman" w:eastAsia="Times New Roman" w:hAnsi="Times New Roman" w:cs="Times New Roman"/>
                <w:sz w:val="24"/>
                <w:szCs w:val="24"/>
                <w:vertAlign w:val="superscript"/>
              </w:rPr>
              <w:t>3</w:t>
            </w:r>
            <w:r w:rsidRPr="005A475B">
              <w:rPr>
                <w:rFonts w:ascii="Times New Roman" w:eastAsia="Times New Roman" w:hAnsi="Times New Roman" w:cs="Times New Roman"/>
                <w:sz w:val="24"/>
                <w:szCs w:val="24"/>
              </w:rPr>
              <w:t>;  у</w:t>
            </w:r>
            <w:r w:rsidRPr="005A475B">
              <w:rPr>
                <w:rFonts w:ascii="Times New Roman" w:eastAsia="Times New Roman" w:hAnsi="Times New Roman" w:cs="Times New Roman"/>
                <w:sz w:val="24"/>
                <w:szCs w:val="24"/>
                <w:vertAlign w:val="subscript"/>
              </w:rPr>
              <w:t xml:space="preserve">6 </w:t>
            </w:r>
            <w:r w:rsidRPr="005A475B">
              <w:rPr>
                <w:rFonts w:ascii="Times New Roman" w:eastAsia="Times New Roman" w:hAnsi="Times New Roman" w:cs="Times New Roman"/>
                <w:sz w:val="24"/>
                <w:szCs w:val="24"/>
              </w:rPr>
              <w:t>– крихкість гранул та, %; у</w:t>
            </w:r>
            <w:r w:rsidRPr="005A475B">
              <w:rPr>
                <w:rFonts w:ascii="Times New Roman" w:eastAsia="Times New Roman" w:hAnsi="Times New Roman" w:cs="Times New Roman"/>
                <w:sz w:val="24"/>
                <w:szCs w:val="24"/>
                <w:vertAlign w:val="subscript"/>
              </w:rPr>
              <w:t>7</w:t>
            </w:r>
            <w:r w:rsidRPr="005A475B">
              <w:rPr>
                <w:rFonts w:ascii="Times New Roman" w:eastAsia="Times New Roman" w:hAnsi="Times New Roman" w:cs="Times New Roman"/>
                <w:sz w:val="24"/>
                <w:szCs w:val="24"/>
              </w:rPr>
              <w:t xml:space="preserve"> – розпадання гранул, сек.; D – функція бажаності</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Нами було отримано 8 серій експерименту, першочергово ми вивчили їх фракційний склад, а також основі показники якості гранул, які піддавали статистичній обробці. Результати фракційного склад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які було отримано, наведено у табл. 3.8.</w:t>
      </w:r>
    </w:p>
    <w:p w:rsidR="00425A08" w:rsidRPr="00B314BF" w:rsidRDefault="00425A08" w:rsidP="00B314BF">
      <w:pPr>
        <w:pStyle w:val="a3"/>
        <w:spacing w:line="360" w:lineRule="auto"/>
        <w:ind w:firstLine="709"/>
        <w:jc w:val="both"/>
        <w:rPr>
          <w:rFonts w:ascii="Times New Roman" w:eastAsia="Times New Roman" w:hAnsi="Times New Roman" w:cs="Times New Roman"/>
          <w:sz w:val="28"/>
          <w:szCs w:val="28"/>
        </w:rPr>
      </w:pPr>
      <w:r w:rsidRPr="00B314BF">
        <w:rPr>
          <w:rFonts w:ascii="Times New Roman" w:eastAsia="Times New Roman" w:hAnsi="Times New Roman" w:cs="Times New Roman"/>
          <w:sz w:val="28"/>
          <w:szCs w:val="28"/>
        </w:rPr>
        <w:t>Таблиця 3.8.</w:t>
      </w:r>
      <w:r w:rsidR="008E7203">
        <w:rPr>
          <w:rFonts w:ascii="Times New Roman" w:eastAsia="Times New Roman" w:hAnsi="Times New Roman" w:cs="Times New Roman"/>
          <w:i/>
          <w:sz w:val="28"/>
          <w:szCs w:val="28"/>
        </w:rPr>
        <w:t xml:space="preserve"> – </w:t>
      </w:r>
      <w:r w:rsidR="008E7203" w:rsidRPr="005A475B">
        <w:rPr>
          <w:rFonts w:ascii="Times New Roman" w:eastAsia="Times New Roman" w:hAnsi="Times New Roman" w:cs="Times New Roman"/>
          <w:sz w:val="28"/>
          <w:szCs w:val="28"/>
        </w:rPr>
        <w:t xml:space="preserve">Визначення фракційного складу </w:t>
      </w:r>
      <w:r w:rsidR="00B314BF">
        <w:rPr>
          <w:rFonts w:ascii="Times New Roman" w:eastAsia="Times New Roman" w:hAnsi="Times New Roman" w:cs="Times New Roman"/>
          <w:sz w:val="28"/>
          <w:szCs w:val="28"/>
        </w:rPr>
        <w:t>восьми</w:t>
      </w:r>
      <w:r w:rsidR="008E7203" w:rsidRPr="005A475B">
        <w:rPr>
          <w:rFonts w:ascii="Times New Roman" w:eastAsia="Times New Roman" w:hAnsi="Times New Roman" w:cs="Times New Roman"/>
          <w:sz w:val="28"/>
          <w:szCs w:val="28"/>
        </w:rPr>
        <w:t xml:space="preserve"> с</w:t>
      </w:r>
      <w:r w:rsidR="00B314BF">
        <w:rPr>
          <w:rFonts w:ascii="Times New Roman" w:eastAsia="Times New Roman" w:hAnsi="Times New Roman" w:cs="Times New Roman"/>
          <w:sz w:val="28"/>
          <w:szCs w:val="28"/>
        </w:rPr>
        <w:t>ерій гранул на основ ФППТ</w:t>
      </w:r>
    </w:p>
    <w:tbl>
      <w:tblPr>
        <w:tblStyle w:val="aa"/>
        <w:tblW w:w="5000" w:type="pct"/>
        <w:tblLook w:val="04A0" w:firstRow="1" w:lastRow="0" w:firstColumn="1" w:lastColumn="0" w:noHBand="0" w:noVBand="1"/>
      </w:tblPr>
      <w:tblGrid>
        <w:gridCol w:w="1136"/>
        <w:gridCol w:w="1362"/>
        <w:gridCol w:w="1275"/>
        <w:gridCol w:w="1275"/>
        <w:gridCol w:w="1275"/>
        <w:gridCol w:w="1275"/>
        <w:gridCol w:w="2257"/>
      </w:tblGrid>
      <w:tr w:rsidR="00425A08" w:rsidRPr="00CF22AE" w:rsidTr="004D5249">
        <w:tc>
          <w:tcPr>
            <w:tcW w:w="1267" w:type="pct"/>
            <w:gridSpan w:val="2"/>
            <w:vMerge w:val="restar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 серії</w:t>
            </w:r>
          </w:p>
        </w:tc>
        <w:tc>
          <w:tcPr>
            <w:tcW w:w="3733" w:type="pct"/>
            <w:gridSpan w:val="5"/>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Розмір чарунок, мм</w:t>
            </w:r>
          </w:p>
        </w:tc>
      </w:tr>
      <w:tr w:rsidR="00425A08" w:rsidRPr="00CF22AE" w:rsidTr="004D5249">
        <w:tc>
          <w:tcPr>
            <w:tcW w:w="1267" w:type="pct"/>
            <w:gridSpan w:val="2"/>
            <w:vMerge/>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1,4</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1,0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0,7</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0,5</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Менше 0,5</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w:t>
            </w:r>
          </w:p>
        </w:tc>
        <w:tc>
          <w:tcPr>
            <w:tcW w:w="691" w:type="pct"/>
            <w:vMerge w:val="restart"/>
            <w:textDirection w:val="btLr"/>
          </w:tcPr>
          <w:p w:rsidR="00425A08" w:rsidRPr="00CF22AE" w:rsidRDefault="00425A08" w:rsidP="005A475B">
            <w:pPr>
              <w:pStyle w:val="a3"/>
              <w:spacing w:line="240" w:lineRule="atLeast"/>
              <w:jc w:val="both"/>
              <w:rPr>
                <w:rFonts w:ascii="Times New Roman" w:eastAsia="Times New Roman" w:hAnsi="Times New Roman" w:cs="Times New Roman"/>
                <w:b/>
                <w:sz w:val="28"/>
                <w:szCs w:val="28"/>
              </w:rPr>
            </w:pPr>
            <w:r w:rsidRPr="00CF22AE">
              <w:rPr>
                <w:rFonts w:ascii="Times New Roman" w:eastAsia="Times New Roman" w:hAnsi="Times New Roman" w:cs="Times New Roman"/>
                <w:b/>
                <w:sz w:val="28"/>
                <w:szCs w:val="28"/>
              </w:rPr>
              <w:t>Фракційний склад, %</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6,93</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37,11</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17,02</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10,20</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27,97</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3,66</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32,81</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18,99</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11,67</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32,29</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4,01</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29,36</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20,50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12,80</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32,53</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2,06</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24,79</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20,12</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13,44</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38,95</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5</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3,37</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27,81</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19,34</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13,16</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25,39</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6</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11,03</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36,70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16,30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9,52</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25,89</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7</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4,83</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27,38</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18,80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12,23</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36,45</w:t>
            </w:r>
          </w:p>
        </w:tc>
      </w:tr>
      <w:tr w:rsidR="00425A08" w:rsidRPr="00CF22AE" w:rsidTr="004D5249">
        <w:tc>
          <w:tcPr>
            <w:tcW w:w="57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8</w:t>
            </w:r>
          </w:p>
        </w:tc>
        <w:tc>
          <w:tcPr>
            <w:tcW w:w="691" w:type="pct"/>
            <w:vMerge/>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5,45</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33,60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18,50</w:t>
            </w:r>
          </w:p>
        </w:tc>
        <w:tc>
          <w:tcPr>
            <w:tcW w:w="647"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11,32</w:t>
            </w:r>
          </w:p>
        </w:tc>
        <w:tc>
          <w:tcPr>
            <w:tcW w:w="1146" w:type="pct"/>
          </w:tcPr>
          <w:p w:rsidR="00425A08" w:rsidRPr="00CF22AE" w:rsidRDefault="00425A08" w:rsidP="005A475B">
            <w:pPr>
              <w:pStyle w:val="a3"/>
              <w:spacing w:line="240" w:lineRule="atLeast"/>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30,73</w:t>
            </w:r>
          </w:p>
        </w:tc>
      </w:tr>
    </w:tbl>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Згідно отриманих даних найбільша фракція по всіх серія із розміром 1 мм (в середньому 31,195 %) та менше 0,5 мм (  середньому 1,275 %).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На основі статистичної обробки нами було побудовано діаграми та за величиною медіан встановлювали вплив досліджуваного фактора на досліджуваний показник.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На рис. 3.22. наведений графік впливу кількісних факторів на втрату маси при висушуванні (y</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w:t>
      </w:r>
      <w:bookmarkEnd w:id="1"/>
      <w:r w:rsidRPr="00CF22AE">
        <w:rPr>
          <w:rFonts w:ascii="Times New Roman" w:eastAsia="Times New Roman" w:hAnsi="Times New Roman" w:cs="Times New Roman"/>
          <w:sz w:val="28"/>
          <w:szCs w:val="28"/>
        </w:rPr>
        <w:t xml:space="preserve">  </w:t>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0261B21B" wp14:editId="78FA756B">
            <wp:extent cx="3735126" cy="27432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735147" cy="2743216"/>
                    </a:xfrm>
                    <a:prstGeom prst="rect">
                      <a:avLst/>
                    </a:prstGeom>
                    <a:noFill/>
                  </pic:spPr>
                </pic:pic>
              </a:graphicData>
            </a:graphic>
          </wp:inline>
        </w:drawing>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3.22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Діаграма розсіювання результатів дослідження впливу кількісних факторів на втрату маси при висушуванні гранул</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 Згідно наведеної діаграми (рис. 3.22), на масу втрати при висуванні впливають найбільшим чином фактор х</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та х</w:t>
      </w:r>
      <w:r w:rsidRPr="00CF22AE">
        <w:rPr>
          <w:rFonts w:ascii="Times New Roman" w:eastAsia="Times New Roman" w:hAnsi="Times New Roman" w:cs="Times New Roman"/>
          <w:sz w:val="28"/>
          <w:szCs w:val="28"/>
          <w:vertAlign w:val="subscript"/>
        </w:rPr>
        <w:t>3</w:t>
      </w:r>
      <w:r w:rsidRPr="00CF22AE">
        <w:rPr>
          <w:rFonts w:ascii="Times New Roman" w:eastAsia="Times New Roman" w:hAnsi="Times New Roman" w:cs="Times New Roman"/>
          <w:sz w:val="28"/>
          <w:szCs w:val="28"/>
        </w:rPr>
        <w:t>. При вивченні фактору х</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на верхньому рівні, а фактору х</w:t>
      </w:r>
      <w:r w:rsidRPr="00CF22AE">
        <w:rPr>
          <w:rFonts w:ascii="Times New Roman" w:eastAsia="Times New Roman" w:hAnsi="Times New Roman" w:cs="Times New Roman"/>
          <w:sz w:val="28"/>
          <w:szCs w:val="28"/>
          <w:vertAlign w:val="subscript"/>
        </w:rPr>
        <w:t>3</w:t>
      </w:r>
      <w:r w:rsidRPr="00CF22AE">
        <w:rPr>
          <w:rFonts w:ascii="Times New Roman" w:eastAsia="Times New Roman" w:hAnsi="Times New Roman" w:cs="Times New Roman"/>
          <w:sz w:val="28"/>
          <w:szCs w:val="28"/>
        </w:rPr>
        <w:t xml:space="preserve"> на нижньому рівні значення досліджуваного показника покращ</w:t>
      </w:r>
      <w:r w:rsidR="004D45D6">
        <w:rPr>
          <w:rFonts w:ascii="Times New Roman" w:eastAsia="Times New Roman" w:hAnsi="Times New Roman" w:cs="Times New Roman"/>
          <w:sz w:val="28"/>
          <w:szCs w:val="28"/>
        </w:rPr>
        <w:t>увалося. Кількість крохмалю пре</w:t>
      </w:r>
      <w:r w:rsidRPr="00CF22AE">
        <w:rPr>
          <w:rFonts w:ascii="Times New Roman" w:eastAsia="Times New Roman" w:hAnsi="Times New Roman" w:cs="Times New Roman"/>
          <w:sz w:val="28"/>
          <w:szCs w:val="28"/>
        </w:rPr>
        <w:t>желатинізованого (х</w:t>
      </w:r>
      <w:r w:rsidRPr="00CF22AE">
        <w:rPr>
          <w:rFonts w:ascii="Times New Roman" w:eastAsia="Times New Roman" w:hAnsi="Times New Roman" w:cs="Times New Roman"/>
          <w:sz w:val="28"/>
          <w:szCs w:val="28"/>
          <w:vertAlign w:val="subscript"/>
        </w:rPr>
        <w:t>2</w:t>
      </w:r>
      <w:r w:rsidRPr="00CF22AE">
        <w:rPr>
          <w:rFonts w:ascii="Times New Roman" w:eastAsia="Times New Roman" w:hAnsi="Times New Roman" w:cs="Times New Roman"/>
          <w:sz w:val="28"/>
          <w:szCs w:val="28"/>
        </w:rPr>
        <w:t>) незначно впливає на даний показник. При збільшенні кількості у гранулах даного фактора втрата в масі при висуванні збільшується.</w:t>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B77923E" wp14:editId="7532358D">
            <wp:extent cx="4007478" cy="2943225"/>
            <wp:effectExtent l="0" t="0" r="0" b="0"/>
            <wp:docPr id="105"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10570" cy="2945496"/>
                    </a:xfrm>
                    <a:prstGeom prst="rect">
                      <a:avLst/>
                    </a:prstGeom>
                    <a:noFill/>
                  </pic:spPr>
                </pic:pic>
              </a:graphicData>
            </a:graphic>
          </wp:inline>
        </w:drawing>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3.22 –</w:t>
      </w:r>
      <w:r w:rsidR="001B4373">
        <w:t xml:space="preserve"> </w:t>
      </w:r>
      <w:r w:rsidRPr="00CF22AE">
        <w:rPr>
          <w:rFonts w:ascii="Times New Roman" w:eastAsia="Times New Roman" w:hAnsi="Times New Roman" w:cs="Times New Roman"/>
          <w:sz w:val="28"/>
          <w:szCs w:val="28"/>
        </w:rPr>
        <w:t>Діаграма розсіювання результатів дослідження впливу кількісних факторів на текучість гранул</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 На текучість гранульованої маси (рис. 3.23) найбільшим чином впливає кількість МКЦ 200 + лактоза (1:1). При збільшенні кількості даної суміші в гранулах текучість покращується і становить 23,0 (100 г/с). При </w:t>
      </w:r>
      <w:r w:rsidR="004D45D6">
        <w:rPr>
          <w:rFonts w:ascii="Times New Roman" w:eastAsia="Times New Roman" w:hAnsi="Times New Roman" w:cs="Times New Roman"/>
          <w:sz w:val="28"/>
          <w:szCs w:val="28"/>
        </w:rPr>
        <w:t>вивченні кількості крохмалю пре</w:t>
      </w:r>
      <w:r w:rsidRPr="00CF22AE">
        <w:rPr>
          <w:rFonts w:ascii="Times New Roman" w:eastAsia="Times New Roman" w:hAnsi="Times New Roman" w:cs="Times New Roman"/>
          <w:sz w:val="28"/>
          <w:szCs w:val="28"/>
        </w:rPr>
        <w:t>желатинізованого в складі гранул спостерігається наступна залежність: із зменшенням вмісту якого тек</w:t>
      </w:r>
      <w:r w:rsidR="004D45D6">
        <w:rPr>
          <w:rFonts w:ascii="Times New Roman" w:eastAsia="Times New Roman" w:hAnsi="Times New Roman" w:cs="Times New Roman"/>
          <w:sz w:val="28"/>
          <w:szCs w:val="28"/>
        </w:rPr>
        <w:t>учість покращується. Вміст неусі</w:t>
      </w:r>
      <w:r w:rsidRPr="00CF22AE">
        <w:rPr>
          <w:rFonts w:ascii="Times New Roman" w:eastAsia="Times New Roman" w:hAnsi="Times New Roman" w:cs="Times New Roman"/>
          <w:sz w:val="28"/>
          <w:szCs w:val="28"/>
        </w:rPr>
        <w:t>ліну US 2 не впливає на даний показник.</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23D6B0B" wp14:editId="2940528C">
            <wp:extent cx="3600450" cy="2822266"/>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609639" cy="2829469"/>
                    </a:xfrm>
                    <a:prstGeom prst="rect">
                      <a:avLst/>
                    </a:prstGeom>
                    <a:noFill/>
                  </pic:spPr>
                </pic:pic>
              </a:graphicData>
            </a:graphic>
          </wp:inline>
        </w:drawing>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3.23 – </w:t>
      </w:r>
      <w:r w:rsidRPr="00CF22AE">
        <w:rPr>
          <w:rFonts w:ascii="Times New Roman" w:eastAsia="Times New Roman" w:hAnsi="Times New Roman" w:cs="Times New Roman"/>
          <w:sz w:val="28"/>
          <w:szCs w:val="28"/>
        </w:rPr>
        <w:t>Діаграма розсіювання результатів дослідження впливу кількісних факторів на коефіцієнт  Гауснера</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 На коефіцієнт Гауснера (рис 3.23.) найбільший вплив чинять фактор х</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та х</w:t>
      </w:r>
      <w:r w:rsidRPr="00CF22AE">
        <w:rPr>
          <w:rFonts w:ascii="Times New Roman" w:eastAsia="Times New Roman" w:hAnsi="Times New Roman" w:cs="Times New Roman"/>
          <w:sz w:val="28"/>
          <w:szCs w:val="28"/>
          <w:vertAlign w:val="subscript"/>
        </w:rPr>
        <w:t>3</w:t>
      </w:r>
      <w:r w:rsidRPr="00CF22AE">
        <w:rPr>
          <w:rFonts w:ascii="Times New Roman" w:eastAsia="Times New Roman" w:hAnsi="Times New Roman" w:cs="Times New Roman"/>
          <w:sz w:val="28"/>
          <w:szCs w:val="28"/>
        </w:rPr>
        <w:t>. При введенні більшої кількості в склад гранул МКЦ 200 + лактоза (1:1) коефіцієнт Гауснера збільшується і становить 1,14, згідно ДФУ показник з таким значенням характеризується як - хоро</w:t>
      </w:r>
      <w:r w:rsidR="004D45D6">
        <w:rPr>
          <w:rFonts w:ascii="Times New Roman" w:eastAsia="Times New Roman" w:hAnsi="Times New Roman" w:cs="Times New Roman"/>
          <w:sz w:val="28"/>
          <w:szCs w:val="28"/>
        </w:rPr>
        <w:t>ша текучість. При вивченні неусі</w:t>
      </w:r>
      <w:r w:rsidRPr="00CF22AE">
        <w:rPr>
          <w:rFonts w:ascii="Times New Roman" w:eastAsia="Times New Roman" w:hAnsi="Times New Roman" w:cs="Times New Roman"/>
          <w:sz w:val="28"/>
          <w:szCs w:val="28"/>
        </w:rPr>
        <w:t>ліну US 2 на верхньому рівні коефіцієнт Гауснера зменшується і становить 1,11, що характеризується відмінною текуч</w:t>
      </w:r>
      <w:r w:rsidR="004D45D6">
        <w:rPr>
          <w:rFonts w:ascii="Times New Roman" w:eastAsia="Times New Roman" w:hAnsi="Times New Roman" w:cs="Times New Roman"/>
          <w:sz w:val="28"/>
          <w:szCs w:val="28"/>
        </w:rPr>
        <w:t>істю. При введенні крохмалю пре</w:t>
      </w:r>
      <w:r w:rsidRPr="00CF22AE">
        <w:rPr>
          <w:rFonts w:ascii="Times New Roman" w:eastAsia="Times New Roman" w:hAnsi="Times New Roman" w:cs="Times New Roman"/>
          <w:sz w:val="28"/>
          <w:szCs w:val="28"/>
        </w:rPr>
        <w:t>желатинізованого в склад гранул у більшій кількості коефіцієнт Гауснера покращується.</w:t>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23AB9EA0" wp14:editId="09F12AD5">
            <wp:extent cx="4084309" cy="29337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90736" cy="2938316"/>
                    </a:xfrm>
                    <a:prstGeom prst="rect">
                      <a:avLst/>
                    </a:prstGeom>
                    <a:noFill/>
                  </pic:spPr>
                </pic:pic>
              </a:graphicData>
            </a:graphic>
          </wp:inline>
        </w:drawing>
      </w:r>
    </w:p>
    <w:p w:rsidR="00425A08" w:rsidRPr="00CF22AE" w:rsidRDefault="00425A08" w:rsidP="00D376EC">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1B4373">
        <w:rPr>
          <w:rFonts w:ascii="Times New Roman" w:eastAsia="Times New Roman" w:hAnsi="Times New Roman" w:cs="Times New Roman"/>
          <w:sz w:val="28"/>
          <w:szCs w:val="28"/>
        </w:rPr>
        <w:t>унок 3.24</w:t>
      </w:r>
      <w:r w:rsidR="001B4373">
        <w:t xml:space="preserve">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 Діаграма розсіювання результатів дослідження впливу кількісних факторів на насипну густину гранул</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 При вивченні впливу кількісних факторів на насипну густину ( рис 3.24.), найбільший вплив чинить фактор х</w:t>
      </w:r>
      <w:r w:rsidRPr="00CF22AE">
        <w:rPr>
          <w:rFonts w:ascii="Times New Roman" w:eastAsia="Times New Roman" w:hAnsi="Times New Roman" w:cs="Times New Roman"/>
          <w:sz w:val="28"/>
          <w:szCs w:val="28"/>
          <w:vertAlign w:val="subscript"/>
        </w:rPr>
        <w:t>2</w:t>
      </w:r>
      <w:r w:rsidRPr="00CF22AE">
        <w:rPr>
          <w:rFonts w:ascii="Times New Roman" w:eastAsia="Times New Roman" w:hAnsi="Times New Roman" w:cs="Times New Roman"/>
          <w:sz w:val="28"/>
          <w:szCs w:val="28"/>
        </w:rPr>
        <w:t xml:space="preserve"> та х</w:t>
      </w:r>
      <w:r w:rsidRPr="00CF22AE">
        <w:rPr>
          <w:rFonts w:ascii="Times New Roman" w:eastAsia="Times New Roman" w:hAnsi="Times New Roman" w:cs="Times New Roman"/>
          <w:sz w:val="28"/>
          <w:szCs w:val="28"/>
          <w:vertAlign w:val="subscript"/>
        </w:rPr>
        <w:t>1</w:t>
      </w:r>
      <w:r w:rsidR="004D45D6">
        <w:rPr>
          <w:rFonts w:ascii="Times New Roman" w:eastAsia="Times New Roman" w:hAnsi="Times New Roman" w:cs="Times New Roman"/>
          <w:sz w:val="28"/>
          <w:szCs w:val="28"/>
        </w:rPr>
        <w:t>. Кількість неусі</w:t>
      </w:r>
      <w:r w:rsidRPr="00CF22AE">
        <w:rPr>
          <w:rFonts w:ascii="Times New Roman" w:eastAsia="Times New Roman" w:hAnsi="Times New Roman" w:cs="Times New Roman"/>
          <w:sz w:val="28"/>
          <w:szCs w:val="28"/>
        </w:rPr>
        <w:t>ліну US 2  незначно впливає  на даний показник. При вивченні факторів х</w:t>
      </w:r>
      <w:r w:rsidRPr="00CF22AE">
        <w:rPr>
          <w:rFonts w:ascii="Times New Roman" w:eastAsia="Times New Roman" w:hAnsi="Times New Roman" w:cs="Times New Roman"/>
          <w:sz w:val="28"/>
          <w:szCs w:val="28"/>
          <w:vertAlign w:val="subscript"/>
        </w:rPr>
        <w:t>2</w:t>
      </w:r>
      <w:r w:rsidRPr="00CF22AE">
        <w:rPr>
          <w:rFonts w:ascii="Times New Roman" w:eastAsia="Times New Roman" w:hAnsi="Times New Roman" w:cs="Times New Roman"/>
          <w:sz w:val="28"/>
          <w:szCs w:val="28"/>
        </w:rPr>
        <w:t xml:space="preserve"> та х</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xml:space="preserve"> на верхньому рівні насипна густина збільшується.</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0404E488" wp14:editId="4ABFDCE5">
            <wp:extent cx="4067851" cy="2924175"/>
            <wp:effectExtent l="0" t="0" r="889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71669" cy="2926920"/>
                    </a:xfrm>
                    <a:prstGeom prst="rect">
                      <a:avLst/>
                    </a:prstGeom>
                    <a:noFill/>
                  </pic:spPr>
                </pic:pic>
              </a:graphicData>
            </a:graphic>
          </wp:inline>
        </w:drawing>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3.25 –</w:t>
      </w:r>
      <w:r w:rsidRPr="00CF22AE">
        <w:rPr>
          <w:rFonts w:ascii="Times New Roman" w:eastAsia="Times New Roman" w:hAnsi="Times New Roman" w:cs="Times New Roman"/>
          <w:sz w:val="28"/>
          <w:szCs w:val="28"/>
        </w:rPr>
        <w:t xml:space="preserve"> Діаграма розсіювання результатів дослідження впливу кількісних факторів на насипну густину після усадки</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Згідно наведеного рисунку (рис 3.25.) на насипну густину після усадки найбільшим ч</w:t>
      </w:r>
      <w:r w:rsidR="004D45D6">
        <w:rPr>
          <w:rFonts w:ascii="Times New Roman" w:eastAsia="Times New Roman" w:hAnsi="Times New Roman" w:cs="Times New Roman"/>
          <w:sz w:val="28"/>
          <w:szCs w:val="28"/>
        </w:rPr>
        <w:t>ином впливає вміст крохмалю пре</w:t>
      </w:r>
      <w:r w:rsidRPr="00CF22AE">
        <w:rPr>
          <w:rFonts w:ascii="Times New Roman" w:eastAsia="Times New Roman" w:hAnsi="Times New Roman" w:cs="Times New Roman"/>
          <w:sz w:val="28"/>
          <w:szCs w:val="28"/>
        </w:rPr>
        <w:t xml:space="preserve">желатинізованого. Із збільшенням якого в складі гранул насипна густина після усадки збільшується і становить 0,401  г/мл. </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D8A0C77" wp14:editId="740D11CF">
            <wp:extent cx="3984638" cy="2886075"/>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89356" cy="2889493"/>
                    </a:xfrm>
                    <a:prstGeom prst="rect">
                      <a:avLst/>
                    </a:prstGeom>
                    <a:noFill/>
                  </pic:spPr>
                </pic:pic>
              </a:graphicData>
            </a:graphic>
          </wp:inline>
        </w:drawing>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3.26</w:t>
      </w:r>
      <w:r w:rsidR="00C811D9">
        <w:rPr>
          <w:rFonts w:ascii="Times New Roman" w:eastAsia="Times New Roman" w:hAnsi="Times New Roman" w:cs="Times New Roman"/>
          <w:sz w:val="28"/>
          <w:szCs w:val="28"/>
        </w:rPr>
        <w:t xml:space="preserve"> </w:t>
      </w:r>
      <w:r w:rsidR="001B4373">
        <w:rPr>
          <w:rFonts w:ascii="Times New Roman" w:eastAsia="Times New Roman" w:hAnsi="Times New Roman" w:cs="Times New Roman"/>
          <w:sz w:val="28"/>
          <w:szCs w:val="28"/>
        </w:rPr>
        <w:t>–</w:t>
      </w:r>
      <w:r w:rsidR="001B4373">
        <w:t xml:space="preserve"> </w:t>
      </w:r>
      <w:r w:rsidRPr="00CF22AE">
        <w:rPr>
          <w:rFonts w:ascii="Times New Roman" w:eastAsia="Times New Roman" w:hAnsi="Times New Roman" w:cs="Times New Roman"/>
          <w:sz w:val="28"/>
          <w:szCs w:val="28"/>
        </w:rPr>
        <w:t xml:space="preserve"> Діаграма розсіювання результатів дослідження впливу кількісних факторів на крихкість гранул на основі </w:t>
      </w:r>
      <w:r w:rsidR="00425F43">
        <w:rPr>
          <w:rFonts w:ascii="Times New Roman" w:eastAsia="Times New Roman" w:hAnsi="Times New Roman" w:cs="Times New Roman"/>
          <w:sz w:val="28"/>
          <w:szCs w:val="28"/>
        </w:rPr>
        <w:t>ФППТ</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 xml:space="preserve">На показник крихкості </w:t>
      </w:r>
      <w:r w:rsidR="001A4761" w:rsidRPr="00CF22AE">
        <w:rPr>
          <w:rFonts w:ascii="Times New Roman" w:eastAsia="Times New Roman" w:hAnsi="Times New Roman" w:cs="Times New Roman"/>
          <w:sz w:val="28"/>
          <w:szCs w:val="28"/>
        </w:rPr>
        <w:t xml:space="preserve">гранул </w:t>
      </w:r>
      <w:r w:rsidRPr="00CF22AE">
        <w:rPr>
          <w:rFonts w:ascii="Times New Roman" w:eastAsia="Times New Roman" w:hAnsi="Times New Roman" w:cs="Times New Roman"/>
          <w:sz w:val="28"/>
          <w:szCs w:val="28"/>
        </w:rPr>
        <w:t>(у</w:t>
      </w:r>
      <w:r w:rsidRPr="00CF22AE">
        <w:rPr>
          <w:rFonts w:ascii="Times New Roman" w:eastAsia="Times New Roman" w:hAnsi="Times New Roman" w:cs="Times New Roman"/>
          <w:sz w:val="28"/>
          <w:szCs w:val="28"/>
          <w:vertAlign w:val="subscript"/>
        </w:rPr>
        <w:t>6</w:t>
      </w:r>
      <w:r w:rsidRPr="00CF22AE">
        <w:rPr>
          <w:rFonts w:ascii="Times New Roman" w:eastAsia="Times New Roman" w:hAnsi="Times New Roman" w:cs="Times New Roman"/>
          <w:sz w:val="28"/>
          <w:szCs w:val="28"/>
        </w:rPr>
        <w:t xml:space="preserve">) впливають всі досліджувані показники. Так при збільшенні вмісту у складі гранул МКЦ 200 </w:t>
      </w:r>
      <w:r w:rsidR="004D45D6">
        <w:rPr>
          <w:rFonts w:ascii="Times New Roman" w:eastAsia="Times New Roman" w:hAnsi="Times New Roman" w:cs="Times New Roman"/>
          <w:sz w:val="28"/>
          <w:szCs w:val="28"/>
        </w:rPr>
        <w:t>+ лактоза (1:1) та крохмалю пре</w:t>
      </w:r>
      <w:r w:rsidRPr="00CF22AE">
        <w:rPr>
          <w:rFonts w:ascii="Times New Roman" w:eastAsia="Times New Roman" w:hAnsi="Times New Roman" w:cs="Times New Roman"/>
          <w:sz w:val="28"/>
          <w:szCs w:val="28"/>
        </w:rPr>
        <w:t>желатинізваного маса втрати гранул зменшується і становить ??? та ??? відповідно.  Обернену залежні</w:t>
      </w:r>
      <w:r w:rsidR="004D45D6">
        <w:rPr>
          <w:rFonts w:ascii="Times New Roman" w:eastAsia="Times New Roman" w:hAnsi="Times New Roman" w:cs="Times New Roman"/>
          <w:sz w:val="28"/>
          <w:szCs w:val="28"/>
        </w:rPr>
        <w:t>сть отримуємо при вивченні неусі</w:t>
      </w:r>
      <w:r w:rsidRPr="00CF22AE">
        <w:rPr>
          <w:rFonts w:ascii="Times New Roman" w:eastAsia="Times New Roman" w:hAnsi="Times New Roman" w:cs="Times New Roman"/>
          <w:sz w:val="28"/>
          <w:szCs w:val="28"/>
        </w:rPr>
        <w:t xml:space="preserve">ліну US 2 на верхньому рівні – значення даного показника погіршується. </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34713793" wp14:editId="766DC22A">
            <wp:extent cx="3812941" cy="280035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820191" cy="2805675"/>
                    </a:xfrm>
                    <a:prstGeom prst="rect">
                      <a:avLst/>
                    </a:prstGeom>
                    <a:noFill/>
                  </pic:spPr>
                </pic:pic>
              </a:graphicData>
            </a:graphic>
          </wp:inline>
        </w:drawing>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001B4373">
        <w:rPr>
          <w:rFonts w:ascii="Times New Roman" w:eastAsia="Times New Roman" w:hAnsi="Times New Roman" w:cs="Times New Roman"/>
          <w:sz w:val="28"/>
          <w:szCs w:val="28"/>
        </w:rPr>
        <w:t xml:space="preserve"> 3.27 – </w:t>
      </w:r>
      <w:r w:rsidRPr="00CF22AE">
        <w:rPr>
          <w:rFonts w:ascii="Times New Roman" w:eastAsia="Times New Roman" w:hAnsi="Times New Roman" w:cs="Times New Roman"/>
          <w:sz w:val="28"/>
          <w:szCs w:val="28"/>
        </w:rPr>
        <w:t xml:space="preserve"> Діаграма розсіювання результатів дослідження впливу кількісних факторів на розпадання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Аналіз рис 3.27. показав, що на розпадання грану</w:t>
      </w:r>
      <w:r w:rsidR="003E1E87">
        <w:rPr>
          <w:rFonts w:ascii="Times New Roman" w:eastAsia="Times New Roman" w:hAnsi="Times New Roman" w:cs="Times New Roman"/>
          <w:sz w:val="28"/>
          <w:szCs w:val="28"/>
        </w:rPr>
        <w:t>л</w:t>
      </w:r>
      <w:r w:rsidRPr="00CF22AE">
        <w:rPr>
          <w:rFonts w:ascii="Times New Roman" w:eastAsia="Times New Roman" w:hAnsi="Times New Roman" w:cs="Times New Roman"/>
          <w:sz w:val="28"/>
          <w:szCs w:val="28"/>
        </w:rPr>
        <w:t xml:space="preserve"> найбільш</w:t>
      </w:r>
      <w:r w:rsidR="004D45D6">
        <w:rPr>
          <w:rFonts w:ascii="Times New Roman" w:eastAsia="Times New Roman" w:hAnsi="Times New Roman" w:cs="Times New Roman"/>
          <w:sz w:val="28"/>
          <w:szCs w:val="28"/>
        </w:rPr>
        <w:t>им чином впливає кількість неусіліну US 2 та крохмалю пре</w:t>
      </w:r>
      <w:r w:rsidRPr="00CF22AE">
        <w:rPr>
          <w:rFonts w:ascii="Times New Roman" w:eastAsia="Times New Roman" w:hAnsi="Times New Roman" w:cs="Times New Roman"/>
          <w:sz w:val="28"/>
          <w:szCs w:val="28"/>
        </w:rPr>
        <w:t xml:space="preserve">желатинізованого.  При вивченні яких на верхньому рівні час розпадання подовжувався.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Оскільки аналіз наведених діаграм розсіювання не дозволяє визначити оптимальні кількості ДР у складі гранул було вирішено перевести отримані результати в безрозмірні величини за допомогою функції бажаності. Діаграма розсіювання по функції бажаності наведена  на рис. 3.28.</w:t>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noProof/>
          <w:sz w:val="28"/>
          <w:szCs w:val="28"/>
          <w:lang w:eastAsia="uk-UA"/>
        </w:rPr>
        <w:drawing>
          <wp:inline distT="0" distB="0" distL="0" distR="0" wp14:anchorId="6BBEB533" wp14:editId="0E3A4DC2">
            <wp:extent cx="3938878" cy="2886075"/>
            <wp:effectExtent l="0" t="0" r="0" b="0"/>
            <wp:docPr id="106"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45816" cy="2891158"/>
                    </a:xfrm>
                    <a:prstGeom prst="rect">
                      <a:avLst/>
                    </a:prstGeom>
                    <a:noFill/>
                  </pic:spPr>
                </pic:pic>
              </a:graphicData>
            </a:graphic>
          </wp:inline>
        </w:drawing>
      </w:r>
    </w:p>
    <w:p w:rsidR="00425A08" w:rsidRPr="00CF22AE" w:rsidRDefault="00425A08" w:rsidP="00F16ED7">
      <w:pPr>
        <w:pStyle w:val="a3"/>
        <w:spacing w:line="360" w:lineRule="auto"/>
        <w:ind w:firstLine="709"/>
        <w:jc w:val="center"/>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Рис</w:t>
      </w:r>
      <w:r w:rsidR="00CF22AE" w:rsidRPr="00CF22AE">
        <w:rPr>
          <w:rFonts w:ascii="Times New Roman" w:eastAsia="Times New Roman" w:hAnsi="Times New Roman" w:cs="Times New Roman"/>
          <w:sz w:val="28"/>
          <w:szCs w:val="28"/>
        </w:rPr>
        <w:t>унок</w:t>
      </w:r>
      <w:r w:rsidRPr="00CF22AE">
        <w:rPr>
          <w:rFonts w:ascii="Times New Roman" w:eastAsia="Times New Roman" w:hAnsi="Times New Roman" w:cs="Times New Roman"/>
          <w:sz w:val="28"/>
          <w:szCs w:val="28"/>
        </w:rPr>
        <w:t xml:space="preserve"> 3.28 </w:t>
      </w:r>
      <w:r w:rsidR="001B4373">
        <w:rPr>
          <w:rFonts w:ascii="Times New Roman" w:eastAsia="Times New Roman" w:hAnsi="Times New Roman" w:cs="Times New Roman"/>
          <w:sz w:val="28"/>
          <w:szCs w:val="28"/>
        </w:rPr>
        <w:t xml:space="preserve">– </w:t>
      </w:r>
      <w:r w:rsidRPr="00CF22AE">
        <w:rPr>
          <w:rFonts w:ascii="Times New Roman" w:eastAsia="Times New Roman" w:hAnsi="Times New Roman" w:cs="Times New Roman"/>
          <w:sz w:val="28"/>
          <w:szCs w:val="28"/>
        </w:rPr>
        <w:t xml:space="preserve">Діаграма розсіювання результатів дослідження впливу кількісних факторів на функцію бажаності гранул на основі </w:t>
      </w:r>
      <w:r w:rsidR="00425F43">
        <w:rPr>
          <w:rFonts w:ascii="Times New Roman" w:eastAsia="Times New Roman" w:hAnsi="Times New Roman" w:cs="Times New Roman"/>
          <w:sz w:val="28"/>
          <w:szCs w:val="28"/>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ab/>
        <w:t>Отже, на функцію бажаності, згідно наведеного рис 3.28, впливають у</w:t>
      </w:r>
      <w:r w:rsidR="004D45D6">
        <w:rPr>
          <w:rFonts w:ascii="Times New Roman" w:eastAsia="Times New Roman" w:hAnsi="Times New Roman" w:cs="Times New Roman"/>
          <w:sz w:val="28"/>
          <w:szCs w:val="28"/>
        </w:rPr>
        <w:t>сі показники. При введенні неусі</w:t>
      </w:r>
      <w:r w:rsidRPr="00CF22AE">
        <w:rPr>
          <w:rFonts w:ascii="Times New Roman" w:eastAsia="Times New Roman" w:hAnsi="Times New Roman" w:cs="Times New Roman"/>
          <w:sz w:val="28"/>
          <w:szCs w:val="28"/>
        </w:rPr>
        <w:t xml:space="preserve">ліну US 2 в кількості 1 % в склад гранул , а МКЦ 200 + лактоза (1:1) </w:t>
      </w:r>
      <w:r w:rsidR="004D45D6">
        <w:rPr>
          <w:rFonts w:ascii="Times New Roman" w:eastAsia="Times New Roman" w:hAnsi="Times New Roman" w:cs="Times New Roman"/>
          <w:sz w:val="28"/>
          <w:szCs w:val="28"/>
        </w:rPr>
        <w:t>в кількості 70 % , крохмалю пре</w:t>
      </w:r>
      <w:r w:rsidRPr="00CF22AE">
        <w:rPr>
          <w:rFonts w:ascii="Times New Roman" w:eastAsia="Times New Roman" w:hAnsi="Times New Roman" w:cs="Times New Roman"/>
          <w:sz w:val="28"/>
          <w:szCs w:val="28"/>
        </w:rPr>
        <w:t xml:space="preserve">желаинізованого - 15 % - значення функції бажаності покращується.  </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Таким чином, аналізуючи результатів статистичної обробки даних з вивчення впливу кількісних факторів на властивості гранул на основі фіто </w:t>
      </w:r>
      <w:r w:rsidR="003E1E87">
        <w:rPr>
          <w:rFonts w:ascii="Times New Roman" w:eastAsia="Times New Roman" w:hAnsi="Times New Roman" w:cs="Times New Roman"/>
          <w:sz w:val="28"/>
          <w:szCs w:val="28"/>
        </w:rPr>
        <w:t>субстанції пирію повзучого трави</w:t>
      </w:r>
      <w:r w:rsidRPr="00CF22AE">
        <w:rPr>
          <w:rFonts w:ascii="Times New Roman" w:eastAsia="Times New Roman" w:hAnsi="Times New Roman" w:cs="Times New Roman"/>
          <w:sz w:val="28"/>
          <w:szCs w:val="28"/>
        </w:rPr>
        <w:t xml:space="preserve"> (у</w:t>
      </w:r>
      <w:r w:rsidRPr="00CF22AE">
        <w:rPr>
          <w:rFonts w:ascii="Times New Roman" w:eastAsia="Times New Roman" w:hAnsi="Times New Roman" w:cs="Times New Roman"/>
          <w:sz w:val="28"/>
          <w:szCs w:val="28"/>
          <w:vertAlign w:val="subscript"/>
        </w:rPr>
        <w:t>1</w:t>
      </w:r>
      <w:r w:rsidRPr="00CF22AE">
        <w:rPr>
          <w:rFonts w:ascii="Times New Roman" w:eastAsia="Times New Roman" w:hAnsi="Times New Roman" w:cs="Times New Roman"/>
          <w:sz w:val="28"/>
          <w:szCs w:val="28"/>
        </w:rPr>
        <w:t>, у</w:t>
      </w:r>
      <w:r w:rsidRPr="00CF22AE">
        <w:rPr>
          <w:rFonts w:ascii="Times New Roman" w:eastAsia="Times New Roman" w:hAnsi="Times New Roman" w:cs="Times New Roman"/>
          <w:sz w:val="28"/>
          <w:szCs w:val="28"/>
          <w:vertAlign w:val="subscript"/>
        </w:rPr>
        <w:t>2</w:t>
      </w:r>
      <w:r w:rsidRPr="00CF22AE">
        <w:rPr>
          <w:rFonts w:ascii="Times New Roman" w:eastAsia="Times New Roman" w:hAnsi="Times New Roman" w:cs="Times New Roman"/>
          <w:sz w:val="28"/>
          <w:szCs w:val="28"/>
        </w:rPr>
        <w:t>, у</w:t>
      </w:r>
      <w:r w:rsidRPr="00CF22AE">
        <w:rPr>
          <w:rFonts w:ascii="Times New Roman" w:eastAsia="Times New Roman" w:hAnsi="Times New Roman" w:cs="Times New Roman"/>
          <w:sz w:val="28"/>
          <w:szCs w:val="28"/>
          <w:vertAlign w:val="subscript"/>
        </w:rPr>
        <w:t>3</w:t>
      </w:r>
      <w:r w:rsidRPr="00CF22AE">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vertAlign w:val="subscript"/>
        </w:rPr>
        <w:t xml:space="preserve"> </w:t>
      </w:r>
      <w:r w:rsidRPr="00CF22AE">
        <w:rPr>
          <w:rFonts w:ascii="Times New Roman" w:eastAsia="Times New Roman" w:hAnsi="Times New Roman" w:cs="Times New Roman"/>
          <w:sz w:val="28"/>
          <w:szCs w:val="28"/>
        </w:rPr>
        <w:t>у</w:t>
      </w:r>
      <w:r w:rsidRPr="00CF22AE">
        <w:rPr>
          <w:rFonts w:ascii="Times New Roman" w:eastAsia="Times New Roman" w:hAnsi="Times New Roman" w:cs="Times New Roman"/>
          <w:sz w:val="28"/>
          <w:szCs w:val="28"/>
          <w:vertAlign w:val="subscript"/>
        </w:rPr>
        <w:t>4</w:t>
      </w:r>
      <w:r w:rsidRPr="00CF22AE">
        <w:rPr>
          <w:rFonts w:ascii="Times New Roman" w:eastAsia="Times New Roman" w:hAnsi="Times New Roman" w:cs="Times New Roman"/>
          <w:sz w:val="28"/>
          <w:szCs w:val="28"/>
        </w:rPr>
        <w:t>, у</w:t>
      </w:r>
      <w:r w:rsidRPr="00CF22AE">
        <w:rPr>
          <w:rFonts w:ascii="Times New Roman" w:eastAsia="Times New Roman" w:hAnsi="Times New Roman" w:cs="Times New Roman"/>
          <w:sz w:val="28"/>
          <w:szCs w:val="28"/>
          <w:vertAlign w:val="subscript"/>
        </w:rPr>
        <w:t>5</w:t>
      </w:r>
      <w:r w:rsidRPr="00CF22AE">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vertAlign w:val="subscript"/>
        </w:rPr>
        <w:t xml:space="preserve"> </w:t>
      </w:r>
      <w:r w:rsidRPr="00CF22AE">
        <w:rPr>
          <w:rFonts w:ascii="Times New Roman" w:eastAsia="Times New Roman" w:hAnsi="Times New Roman" w:cs="Times New Roman"/>
          <w:sz w:val="28"/>
          <w:szCs w:val="28"/>
        </w:rPr>
        <w:t>у</w:t>
      </w:r>
      <w:r w:rsidRPr="00CF22AE">
        <w:rPr>
          <w:rFonts w:ascii="Times New Roman" w:eastAsia="Times New Roman" w:hAnsi="Times New Roman" w:cs="Times New Roman"/>
          <w:sz w:val="28"/>
          <w:szCs w:val="28"/>
          <w:vertAlign w:val="subscript"/>
        </w:rPr>
        <w:t xml:space="preserve">6, </w:t>
      </w:r>
      <w:r w:rsidRPr="00CF22AE">
        <w:rPr>
          <w:rFonts w:ascii="Times New Roman" w:eastAsia="Times New Roman" w:hAnsi="Times New Roman" w:cs="Times New Roman"/>
          <w:sz w:val="28"/>
          <w:szCs w:val="28"/>
        </w:rPr>
        <w:t>у</w:t>
      </w:r>
      <w:r w:rsidRPr="00CF22AE">
        <w:rPr>
          <w:rFonts w:ascii="Times New Roman" w:eastAsia="Times New Roman" w:hAnsi="Times New Roman" w:cs="Times New Roman"/>
          <w:sz w:val="28"/>
          <w:szCs w:val="28"/>
          <w:vertAlign w:val="subscript"/>
        </w:rPr>
        <w:t>7</w:t>
      </w:r>
      <w:r w:rsidRPr="00CF22AE">
        <w:rPr>
          <w:rFonts w:ascii="Times New Roman" w:eastAsia="Times New Roman" w:hAnsi="Times New Roman" w:cs="Times New Roman"/>
          <w:sz w:val="28"/>
          <w:szCs w:val="28"/>
        </w:rPr>
        <w:t xml:space="preserve">) та функцію бажаності, було зроблено наступні узагальнені висновки: </w:t>
      </w:r>
    </w:p>
    <w:p w:rsidR="00425A08" w:rsidRPr="00CF22AE" w:rsidRDefault="00425A08" w:rsidP="00B314BF">
      <w:pPr>
        <w:pStyle w:val="a3"/>
        <w:numPr>
          <w:ilvl w:val="0"/>
          <w:numId w:val="11"/>
        </w:numPr>
        <w:spacing w:line="36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збільшення кількості  МКЦ 200+ лактоза (1:1) до 70 % в склад гранул покращуються майже всі досліджувані показники : текучість втрата  в масі при висушуванні , крихкість гранул та функція бажаності;</w:t>
      </w:r>
    </w:p>
    <w:p w:rsidR="00B314BF" w:rsidRDefault="004D45D6" w:rsidP="00B314BF">
      <w:pPr>
        <w:pStyle w:val="a3"/>
        <w:numPr>
          <w:ilvl w:val="0"/>
          <w:numId w:val="11"/>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крохмаль пре</w:t>
      </w:r>
      <w:r w:rsidR="00425A08" w:rsidRPr="00CF22AE">
        <w:rPr>
          <w:rFonts w:ascii="Times New Roman" w:eastAsia="Times New Roman" w:hAnsi="Times New Roman" w:cs="Times New Roman"/>
          <w:sz w:val="28"/>
          <w:szCs w:val="28"/>
        </w:rPr>
        <w:t xml:space="preserve">желатинізований у кількості 15 % зменшує </w:t>
      </w:r>
    </w:p>
    <w:p w:rsidR="00B07033" w:rsidRDefault="00425A08" w:rsidP="00B07033">
      <w:pPr>
        <w:pStyle w:val="a3"/>
        <w:numPr>
          <w:ilvl w:val="0"/>
          <w:numId w:val="11"/>
        </w:numPr>
        <w:spacing w:line="360" w:lineRule="auto"/>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крихкість гранул та збільшує показник функції бажаності;</w:t>
      </w:r>
    </w:p>
    <w:p w:rsidR="00B07033" w:rsidRDefault="004D45D6" w:rsidP="00B07033">
      <w:pPr>
        <w:pStyle w:val="a3"/>
        <w:numPr>
          <w:ilvl w:val="0"/>
          <w:numId w:val="11"/>
        </w:numPr>
        <w:spacing w:line="360" w:lineRule="auto"/>
        <w:jc w:val="both"/>
        <w:rPr>
          <w:rFonts w:ascii="Times New Roman" w:eastAsia="Times New Roman" w:hAnsi="Times New Roman" w:cs="Times New Roman"/>
          <w:sz w:val="28"/>
          <w:szCs w:val="28"/>
        </w:rPr>
      </w:pPr>
      <w:r w:rsidRPr="00B07033">
        <w:rPr>
          <w:rFonts w:ascii="Times New Roman" w:eastAsia="Times New Roman" w:hAnsi="Times New Roman" w:cs="Times New Roman"/>
          <w:sz w:val="28"/>
          <w:szCs w:val="28"/>
        </w:rPr>
        <w:t>при вивченні неусі</w:t>
      </w:r>
      <w:r w:rsidR="00425A08" w:rsidRPr="00B07033">
        <w:rPr>
          <w:rFonts w:ascii="Times New Roman" w:eastAsia="Times New Roman" w:hAnsi="Times New Roman" w:cs="Times New Roman"/>
          <w:sz w:val="28"/>
          <w:szCs w:val="28"/>
        </w:rPr>
        <w:t>ліну US 2 на нижньому рівні зменшується втрата в масі при висушуванні покращується міцність гранул та показник функції бажаності.</w:t>
      </w:r>
    </w:p>
    <w:p w:rsidR="00B07033" w:rsidRDefault="00B07033" w:rsidP="00B07033">
      <w:pPr>
        <w:pStyle w:val="a3"/>
        <w:spacing w:line="360" w:lineRule="auto"/>
        <w:ind w:left="1636"/>
        <w:jc w:val="both"/>
        <w:rPr>
          <w:rFonts w:ascii="Times New Roman" w:eastAsia="Times New Roman" w:hAnsi="Times New Roman" w:cs="Times New Roman"/>
          <w:sz w:val="28"/>
          <w:szCs w:val="28"/>
        </w:rPr>
      </w:pPr>
    </w:p>
    <w:p w:rsidR="00B314BF" w:rsidRPr="00B07033" w:rsidRDefault="00425A08" w:rsidP="00B07033">
      <w:pPr>
        <w:pStyle w:val="a3"/>
        <w:spacing w:line="360" w:lineRule="auto"/>
        <w:ind w:left="1276"/>
        <w:jc w:val="both"/>
        <w:rPr>
          <w:rFonts w:ascii="Times New Roman" w:eastAsia="Times New Roman" w:hAnsi="Times New Roman" w:cs="Times New Roman"/>
          <w:sz w:val="28"/>
          <w:szCs w:val="28"/>
        </w:rPr>
      </w:pPr>
      <w:r w:rsidRPr="00B07033">
        <w:rPr>
          <w:rFonts w:ascii="Times New Roman" w:eastAsia="Times New Roman" w:hAnsi="Times New Roman" w:cs="Times New Roman"/>
          <w:sz w:val="28"/>
          <w:szCs w:val="28"/>
        </w:rPr>
        <w:t xml:space="preserve"> </w:t>
      </w:r>
      <w:r w:rsidR="00B314BF" w:rsidRPr="00B07033">
        <w:rPr>
          <w:rFonts w:ascii="Times New Roman" w:eastAsia="Times New Roman" w:hAnsi="Times New Roman" w:cs="Times New Roman"/>
          <w:sz w:val="28"/>
          <w:szCs w:val="28"/>
        </w:rPr>
        <w:t xml:space="preserve">Отже, встановлено оптимальні ДР для  гранул на основі ФППТ :  </w:t>
      </w:r>
    </w:p>
    <w:p w:rsidR="00425A08" w:rsidRPr="00CF22AE" w:rsidRDefault="00425A08" w:rsidP="00B314BF">
      <w:pPr>
        <w:pStyle w:val="a3"/>
        <w:spacing w:line="360" w:lineRule="auto"/>
        <w:ind w:left="1276"/>
        <w:jc w:val="both"/>
        <w:rPr>
          <w:rFonts w:ascii="Times New Roman" w:eastAsia="Times New Roman" w:hAnsi="Times New Roman" w:cs="Times New Roman"/>
          <w:sz w:val="28"/>
          <w:szCs w:val="28"/>
        </w:rPr>
      </w:pPr>
    </w:p>
    <w:tbl>
      <w:tblPr>
        <w:tblStyle w:val="aa"/>
        <w:tblpPr w:leftFromText="180" w:rightFromText="180" w:vertAnchor="text" w:horzAnchor="margin" w:tblpY="180"/>
        <w:tblW w:w="99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9"/>
        <w:gridCol w:w="2706"/>
        <w:gridCol w:w="2335"/>
      </w:tblGrid>
      <w:tr w:rsidR="00B07033" w:rsidRPr="00CF22AE" w:rsidTr="00B314BF">
        <w:trPr>
          <w:trHeight w:val="142"/>
        </w:trPr>
        <w:tc>
          <w:tcPr>
            <w:tcW w:w="4909" w:type="dxa"/>
          </w:tcPr>
          <w:p w:rsidR="00B07033" w:rsidRDefault="00B07033" w:rsidP="00B314BF">
            <w:pPr>
              <w:pStyle w:val="a3"/>
              <w:spacing w:line="240" w:lineRule="atLeast"/>
              <w:ind w:firstLine="709"/>
              <w:jc w:val="both"/>
              <w:rPr>
                <w:rFonts w:ascii="Times New Roman" w:eastAsia="Times New Roman" w:hAnsi="Times New Roman" w:cs="Times New Roman"/>
                <w:sz w:val="28"/>
                <w:szCs w:val="28"/>
              </w:rPr>
            </w:pPr>
          </w:p>
        </w:tc>
        <w:tc>
          <w:tcPr>
            <w:tcW w:w="2706" w:type="dxa"/>
          </w:tcPr>
          <w:p w:rsidR="00B07033" w:rsidRPr="00CF22AE" w:rsidRDefault="00B07033"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2335" w:type="dxa"/>
          </w:tcPr>
          <w:p w:rsidR="00B07033" w:rsidRDefault="00B07033"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p>
        </w:tc>
      </w:tr>
      <w:tr w:rsidR="00B314BF" w:rsidRPr="00CF22AE" w:rsidTr="00B314BF">
        <w:trPr>
          <w:trHeight w:val="142"/>
        </w:trPr>
        <w:tc>
          <w:tcPr>
            <w:tcW w:w="4909"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ФППТ</w:t>
            </w:r>
          </w:p>
        </w:tc>
        <w:tc>
          <w:tcPr>
            <w:tcW w:w="2706"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12,5</w:t>
            </w:r>
          </w:p>
        </w:tc>
        <w:tc>
          <w:tcPr>
            <w:tcW w:w="2335"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0,64</w:t>
            </w:r>
          </w:p>
        </w:tc>
      </w:tr>
      <w:tr w:rsidR="00B314BF" w:rsidRPr="00CF22AE" w:rsidTr="00B314BF">
        <w:trPr>
          <w:trHeight w:val="142"/>
        </w:trPr>
        <w:tc>
          <w:tcPr>
            <w:tcW w:w="4909" w:type="dxa"/>
          </w:tcPr>
          <w:p w:rsidR="00B314BF" w:rsidRPr="00CF22AE" w:rsidRDefault="00B07033"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МКЦ 200</w:t>
            </w:r>
          </w:p>
        </w:tc>
        <w:tc>
          <w:tcPr>
            <w:tcW w:w="2706"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2335"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1,77</w:t>
            </w:r>
          </w:p>
        </w:tc>
      </w:tr>
      <w:tr w:rsidR="00B314BF" w:rsidRPr="00CF22AE" w:rsidTr="00B314BF">
        <w:trPr>
          <w:trHeight w:val="137"/>
        </w:trPr>
        <w:tc>
          <w:tcPr>
            <w:tcW w:w="4909"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Лакто</w:t>
            </w:r>
            <w:r w:rsidR="00B07033">
              <w:rPr>
                <w:rFonts w:ascii="Times New Roman" w:eastAsia="Times New Roman" w:hAnsi="Times New Roman" w:cs="Times New Roman"/>
                <w:sz w:val="28"/>
                <w:szCs w:val="28"/>
              </w:rPr>
              <w:t>за</w:t>
            </w:r>
          </w:p>
        </w:tc>
        <w:tc>
          <w:tcPr>
            <w:tcW w:w="2706"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w:t>
            </w:r>
          </w:p>
        </w:tc>
        <w:tc>
          <w:tcPr>
            <w:tcW w:w="2335"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1,77</w:t>
            </w:r>
          </w:p>
        </w:tc>
      </w:tr>
      <w:tr w:rsidR="00B314BF" w:rsidRPr="00CF22AE" w:rsidTr="00B314BF">
        <w:trPr>
          <w:trHeight w:val="284"/>
        </w:trPr>
        <w:tc>
          <w:tcPr>
            <w:tcW w:w="4909"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Крохмаль  пре</w:t>
            </w:r>
            <w:r w:rsidR="00B07033">
              <w:rPr>
                <w:rFonts w:ascii="Times New Roman" w:eastAsia="Times New Roman" w:hAnsi="Times New Roman" w:cs="Times New Roman"/>
                <w:sz w:val="28"/>
                <w:szCs w:val="28"/>
              </w:rPr>
              <w:t xml:space="preserve">желатнізований </w:t>
            </w:r>
            <w:r>
              <w:rPr>
                <w:rFonts w:ascii="Times New Roman" w:eastAsia="Times New Roman" w:hAnsi="Times New Roman" w:cs="Times New Roman"/>
                <w:sz w:val="28"/>
                <w:szCs w:val="28"/>
              </w:rPr>
              <w:t xml:space="preserve"> </w:t>
            </w:r>
          </w:p>
        </w:tc>
        <w:tc>
          <w:tcPr>
            <w:tcW w:w="2706"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15</w:t>
            </w:r>
          </w:p>
        </w:tc>
        <w:tc>
          <w:tcPr>
            <w:tcW w:w="2335"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0,77</w:t>
            </w:r>
          </w:p>
        </w:tc>
      </w:tr>
      <w:tr w:rsidR="00B314BF" w:rsidRPr="00CF22AE" w:rsidTr="00B314BF">
        <w:trPr>
          <w:trHeight w:val="291"/>
        </w:trPr>
        <w:tc>
          <w:tcPr>
            <w:tcW w:w="4909"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Неусі</w:t>
            </w:r>
            <w:r w:rsidR="00B07033">
              <w:rPr>
                <w:rFonts w:ascii="Times New Roman" w:eastAsia="Times New Roman" w:hAnsi="Times New Roman" w:cs="Times New Roman"/>
                <w:sz w:val="28"/>
                <w:szCs w:val="28"/>
              </w:rPr>
              <w:t>лін US 2</w:t>
            </w:r>
          </w:p>
        </w:tc>
        <w:tc>
          <w:tcPr>
            <w:tcW w:w="2706"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1</w:t>
            </w:r>
          </w:p>
        </w:tc>
        <w:tc>
          <w:tcPr>
            <w:tcW w:w="2335" w:type="dxa"/>
          </w:tcPr>
          <w:p w:rsidR="00B314BF" w:rsidRPr="00CF22AE" w:rsidRDefault="00B314BF" w:rsidP="00B314BF">
            <w:pPr>
              <w:pStyle w:val="a3"/>
              <w:spacing w:line="240" w:lineRule="atLeast"/>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0,07</w:t>
            </w:r>
          </w:p>
        </w:tc>
      </w:tr>
    </w:tbl>
    <w:p w:rsidR="00B314BF" w:rsidRDefault="00B314BF" w:rsidP="00DB7D0E">
      <w:pPr>
        <w:pStyle w:val="a3"/>
        <w:spacing w:line="360" w:lineRule="auto"/>
        <w:ind w:firstLine="709"/>
        <w:jc w:val="both"/>
        <w:rPr>
          <w:rFonts w:ascii="Times New Roman" w:eastAsia="Times New Roman" w:hAnsi="Times New Roman" w:cs="Times New Roman"/>
          <w:sz w:val="28"/>
          <w:szCs w:val="28"/>
        </w:rPr>
      </w:pPr>
    </w:p>
    <w:p w:rsidR="00B314BF" w:rsidRDefault="00B314BF" w:rsidP="00B314BF">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зв’язувальний розчин використовували 5 % розчин крохмалного клейстеру</w:t>
      </w:r>
    </w:p>
    <w:tbl>
      <w:tblPr>
        <w:tblpPr w:leftFromText="180" w:rightFromText="180" w:vertAnchor="text" w:horzAnchor="margin" w:tblpXSpec="center" w:tblpY="-3190"/>
        <w:tblOverlap w:val="never"/>
        <w:tblW w:w="106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36"/>
        <w:gridCol w:w="262"/>
        <w:gridCol w:w="3187"/>
        <w:gridCol w:w="236"/>
        <w:gridCol w:w="3806"/>
      </w:tblGrid>
      <w:tr w:rsidR="00B314BF" w:rsidRPr="00CF22AE" w:rsidTr="00A570B1">
        <w:tc>
          <w:tcPr>
            <w:tcW w:w="3179" w:type="dxa"/>
            <w:gridSpan w:val="2"/>
            <w:tcBorders>
              <w:top w:val="nil"/>
              <w:left w:val="nil"/>
              <w:bottom w:val="nil"/>
              <w:right w:val="nil"/>
            </w:tcBorders>
          </w:tcPr>
          <w:p w:rsidR="00B314BF" w:rsidRDefault="00B314BF" w:rsidP="00A570B1">
            <w:pPr>
              <w:spacing w:after="0" w:line="240" w:lineRule="atLeast"/>
              <w:jc w:val="both"/>
              <w:rPr>
                <w:rFonts w:ascii="Times New Roman" w:eastAsia="Times New Roman" w:hAnsi="Times New Roman" w:cs="Times New Roman"/>
                <w:sz w:val="21"/>
                <w:szCs w:val="21"/>
                <w:lang w:eastAsia="ru-RU"/>
              </w:rPr>
            </w:pPr>
            <w:r>
              <w:rPr>
                <w:rFonts w:ascii="Times New Roman" w:eastAsia="Times New Roman" w:hAnsi="Times New Roman" w:cs="Times New Roman"/>
                <w:sz w:val="21"/>
                <w:szCs w:val="21"/>
                <w:lang w:eastAsia="ru-RU"/>
              </w:rPr>
              <w:br/>
            </w:r>
          </w:p>
          <w:p w:rsidR="00B314BF" w:rsidRDefault="00B314BF" w:rsidP="00A570B1">
            <w:pPr>
              <w:spacing w:after="0" w:line="240" w:lineRule="atLeast"/>
              <w:ind w:firstLine="709"/>
              <w:jc w:val="both"/>
              <w:rPr>
                <w:rFonts w:ascii="Times New Roman" w:eastAsia="Times New Roman" w:hAnsi="Times New Roman" w:cs="Times New Roman"/>
                <w:sz w:val="21"/>
                <w:szCs w:val="21"/>
                <w:lang w:eastAsia="ru-RU"/>
              </w:rPr>
            </w:pPr>
          </w:p>
          <w:p w:rsidR="00B314BF" w:rsidRPr="00CF22AE" w:rsidRDefault="00B314BF" w:rsidP="00A570B1">
            <w:pPr>
              <w:spacing w:after="0" w:line="240" w:lineRule="atLeast"/>
              <w:jc w:val="both"/>
              <w:rPr>
                <w:rFonts w:ascii="Times New Roman" w:eastAsia="Times New Roman" w:hAnsi="Times New Roman" w:cs="Times New Roman"/>
                <w:sz w:val="21"/>
                <w:szCs w:val="21"/>
                <w:lang w:eastAsia="ru-RU"/>
              </w:rPr>
            </w:pPr>
          </w:p>
        </w:tc>
        <w:tc>
          <w:tcPr>
            <w:tcW w:w="262" w:type="dxa"/>
            <w:tcBorders>
              <w:top w:val="nil"/>
              <w:left w:val="nil"/>
              <w:bottom w:val="nil"/>
              <w:right w:val="single" w:sz="4" w:space="0" w:color="auto"/>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p>
        </w:tc>
        <w:tc>
          <w:tcPr>
            <w:tcW w:w="3187" w:type="dxa"/>
            <w:tcBorders>
              <w:top w:val="single" w:sz="4" w:space="0" w:color="auto"/>
              <w:left w:val="single" w:sz="4" w:space="0" w:color="auto"/>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Підготовка виробництва</w:t>
            </w:r>
          </w:p>
        </w:tc>
        <w:tc>
          <w:tcPr>
            <w:tcW w:w="236" w:type="dxa"/>
            <w:tcBorders>
              <w:top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Вихідна сировина, проміжна продукція та матеріали</w:t>
            </w: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top w:val="nil"/>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Контроль в процесі виробництва</w:t>
            </w:r>
          </w:p>
        </w:tc>
      </w:tr>
      <w:tr w:rsidR="00B314BF" w:rsidRPr="00CF22AE" w:rsidTr="00A570B1">
        <w:tc>
          <w:tcPr>
            <w:tcW w:w="2943"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p>
        </w:tc>
        <w:tc>
          <w:tcPr>
            <w:tcW w:w="3449" w:type="dxa"/>
            <w:gridSpan w:val="2"/>
          </w:tcPr>
          <w:p w:rsidR="00B314BF" w:rsidRPr="00CF22AE" w:rsidRDefault="00B314BF" w:rsidP="00B314BF">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Виготовлення гранул з </w:t>
            </w:r>
            <w:r>
              <w:rPr>
                <w:rFonts w:ascii="Times New Roman" w:eastAsia="Times New Roman" w:hAnsi="Times New Roman" w:cs="Times New Roman"/>
                <w:b/>
                <w:sz w:val="21"/>
                <w:szCs w:val="21"/>
                <w:lang w:eastAsia="ru-RU"/>
              </w:rPr>
              <w:t>ФППТ</w:t>
            </w:r>
            <w:r w:rsidRPr="00CF22AE">
              <w:rPr>
                <w:rFonts w:ascii="Times New Roman" w:eastAsia="Times New Roman" w:hAnsi="Times New Roman" w:cs="Times New Roman"/>
                <w:b/>
                <w:sz w:val="21"/>
                <w:szCs w:val="21"/>
                <w:lang w:eastAsia="ru-RU"/>
              </w:rPr>
              <w:t xml:space="preserve"> </w:t>
            </w:r>
          </w:p>
        </w:tc>
        <w:tc>
          <w:tcPr>
            <w:tcW w:w="236" w:type="dxa"/>
            <w:tcBorders>
              <w:top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nil"/>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56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Трава пирію повзучого</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0528" behindDoc="0" locked="0" layoutInCell="1" allowOverlap="1" wp14:anchorId="57516D62" wp14:editId="69DE365F">
                      <wp:simplePos x="0" y="0"/>
                      <wp:positionH relativeFrom="column">
                        <wp:posOffset>-68580</wp:posOffset>
                      </wp:positionH>
                      <wp:positionV relativeFrom="paragraph">
                        <wp:posOffset>220345</wp:posOffset>
                      </wp:positionV>
                      <wp:extent cx="176530" cy="0"/>
                      <wp:effectExtent l="7620" t="58420" r="15875" b="55880"/>
                      <wp:wrapNone/>
                      <wp:docPr id="42" name="Пряма сполучна ліні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E9917B" id="Пряма сполучна лінія 42"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7.35pt" to="8.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3JWXAIAAG0EAAAOAAAAZHJzL2Uyb0RvYy54bWysVM1uEzEQviPxDpbv6WbTTZquuqlQNuFS&#10;oFLLAzi2N2vhtVe2m02EkEAcOPbWK6/AHQqvsPtGjJ0fWrggRA7O2DPz+Ztvxnt2vq4kWnFjhVYZ&#10;jo/6GHFFNRNqmeHX1/PeGCPriGJEasUzvOEWn0+ePjlr6pQPdKkl4wYBiLJpU2e4dK5Oo8jSklfE&#10;HumaK3AW2lTEwdYsI2ZIA+iVjAb9/ihqtGG10ZRbC6f51oknAb8oOHWvisJyh2SGgZsLqwnrwq/R&#10;5IykS0PqUtAdDfIPLCoiFFx6gMqJI+jGiD+gKkGNtrpwR1RXkS4KQXmoAaqJ+79Vc1WSmodaQBxb&#10;H2Sy/w+WvlxdGiRYhpMBRopU0KP2c/e+u22/tV9Q96H90X5vv3Yfu0/tPRyAedfed3fdLYIEUK+p&#10;bQogU3VpfP10ra7qC03fWKT0tCRqyUMV15sakGOfET1K8RtbA4dF80IziCE3Tgcp14WpPCSIhNah&#10;Y5tDx/jaIQqH8cloeAx9pXtXRNJ9Xm2se851hbyRYSmU15KkZHVhnedB0n2IP1Z6LqQM8yAVajJ8&#10;OhwMQ4LVUjDv9GHWLBdTadCK+IkKv1AUeB6GGX2jWAArOWGzne2IkGAjF9RwRoA+kmN/W8UZRpLD&#10;I/LWlp5U/kaoFQjvrO1QvT3tn87Gs3HSSwajWS/p53nv2Xya9Ebz+GSYH+fTaR6/8+TjJC0FY1x5&#10;/vsBj5O/G6DdU9uO5mHED0JFj9GDokB2/x9Ih2b7/m4nZaHZ5tL46nzfYaZD8O79+UfzcB+ifn0l&#10;Jj8BAAD//wMAUEsDBBQABgAIAAAAIQDR2hs83gAAAAgBAAAPAAAAZHJzL2Rvd25yZXYueG1sTI9B&#10;S8NAFITvgv9heYK3dhMVG2I2RYR6aVXairS3bfaZBLNvw+6mjf/eVzzocZhh5ptiPtpOHNGH1pGC&#10;dJqAQKqcaalW8L5dTDIQIWoyunOECr4xwLy8vCh0btyJ1njcxFpwCYVcK2hi7HMpQ9Wg1WHqeiT2&#10;Pp23OrL0tTRen7jcdvImSe6l1S3xQqN7fGqw+toMVsF6tVhmH8thrPz+OX3dvq1ediFT6vpqfHwA&#10;EXGMf2E44zM6lMx0cAOZIDoFkzRh9Kjg9m4G4hyY8bfDr5ZlIf8fKH8AAAD//wMAUEsBAi0AFAAG&#10;AAgAAAAhALaDOJL+AAAA4QEAABMAAAAAAAAAAAAAAAAAAAAAAFtDb250ZW50X1R5cGVzXS54bWxQ&#10;SwECLQAUAAYACAAAACEAOP0h/9YAAACUAQAACwAAAAAAAAAAAAAAAAAvAQAAX3JlbHMvLnJlbHNQ&#10;SwECLQAUAAYACAAAACEA5c9yVlwCAABtBAAADgAAAAAAAAAAAAAAAAAuAgAAZHJzL2Uyb0RvYy54&#10;bWxQSwECLQAUAAYACAAAACEA0dobPN4AAAAIAQAADwAAAAAAAAAAAAAAAAC2BAAAZHJzL2Rvd25y&#10;ZXYueG1sUEsFBgAAAAAEAAQA8wAAAMEFAAAAAA==&#10;">
                      <v:stroke endarrow="block"/>
                    </v:line>
                  </w:pict>
                </mc:Fallback>
              </mc:AlternateContent>
            </w:r>
          </w:p>
        </w:tc>
        <w:tc>
          <w:tcPr>
            <w:tcW w:w="3449" w:type="dxa"/>
            <w:gridSpan w:val="2"/>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1 </w:t>
            </w:r>
            <w:r w:rsidRPr="00CF22AE">
              <w:rPr>
                <w:rFonts w:ascii="Times New Roman" w:eastAsia="Times New Roman" w:hAnsi="Times New Roman" w:cs="Times New Roman"/>
                <w:sz w:val="21"/>
                <w:szCs w:val="21"/>
                <w:lang w:eastAsia="ru-RU"/>
              </w:rPr>
              <w:t>Подрібнення</w:t>
            </w:r>
            <w:r>
              <w:rPr>
                <w:rFonts w:ascii="Times New Roman" w:eastAsia="Times New Roman" w:hAnsi="Times New Roman" w:cs="Times New Roman"/>
                <w:sz w:val="21"/>
                <w:szCs w:val="21"/>
                <w:lang w:eastAsia="ru-RU"/>
              </w:rPr>
              <w:t xml:space="preserve"> ЛРС</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Лабораторний млин,ваги</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1312" behindDoc="0" locked="0" layoutInCell="1" allowOverlap="1" wp14:anchorId="0CD8B853" wp14:editId="71240B83">
                      <wp:simplePos x="0" y="0"/>
                      <wp:positionH relativeFrom="column">
                        <wp:posOffset>-68580</wp:posOffset>
                      </wp:positionH>
                      <wp:positionV relativeFrom="paragraph">
                        <wp:posOffset>220345</wp:posOffset>
                      </wp:positionV>
                      <wp:extent cx="226695" cy="0"/>
                      <wp:effectExtent l="17145" t="58420" r="13335" b="55880"/>
                      <wp:wrapNone/>
                      <wp:docPr id="44" name="Пряма сполучна ліні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66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C1C6C7" id="Пряма сполучна лінія 44" o:spid="_x0000_s1026" style="position:absolute;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7.35pt" to="12.45pt,1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p6mYgIAAHcEAAAOAAAAZHJzL2Uyb0RvYy54bWysVMFuEzEQvSPxD5bv6WbDJiSrbiqUTeBQ&#10;oFLLBzhrb9bCa1u2m02EkEAcOPbWK7/AHQq/sPtHjJ00beGCEDk4Y8/M85uZ5z0+2dQCrZmxXMkM&#10;x0d9jJgsFOVyleE3F4veGCPriKREKMkyvGUWn0wfPzpudMoGqlKCMoMARNq00RmunNNpFNmiYjWx&#10;R0ozCc5SmZo42JpVRA1pAL0W0aDfH0WNMlQbVTBr4TTfOfE04JclK9zrsrTMIZFh4ObCasK69Gs0&#10;PSbpyhBd8WJPg/wDi5pwCZceoHLiCLo0/A+omhdGWVW6o0LVkSpLXrBQA1QT93+r5rwimoVaoDlW&#10;H9pk/x9s8Wp9ZhCnGU4SjCSpYUbtl+5Dd9V+b7+i7mP7s/3Rfus+dZ/bGzgA87q96a67KwQJ0L1G&#10;2xRAZvLM+PqLjTzXp6p4a5FUs4rIFQtVXGw1IMc+I3qQ4jdWA4dl81JRiCGXToVWbkpTo1Jw/cIn&#10;enBoF9qE2W0Ps2Mbhwo4HAxGo8kQo+LWFZHUI/g8bax7zlSNvJFhwaXvKknJ+tQ6z+guxB9LteBC&#10;BGUIiZoMT4aDYUiwSnDqnT7MmtVyJgxaE6+t8Avlged+mFGXkgawihE639uOcAE2cqEvznDolGDY&#10;31YzipFg8Jy8taMnpL8RagXCe2snr3eT/mQ+no+TXjIYzXtJP897zxazpDdaxE+H+ZN8Nsvj9558&#10;nKQVp5RJz/9W6nHyd1LaP7qdSA9iPzQqeogeOgpkb/8D6TB2P+mdZpaKbs+Mr84rANQdgvcv0T+f&#10;+/sQdfe9mP4CAAD//wMAUEsDBBQABgAIAAAAIQCeOj6F3gAAAAgBAAAPAAAAZHJzL2Rvd25yZXYu&#10;eG1sTI/BTsMwEETvSPyDtUjcWiclUBriVAiBxAmVtkLi5sZLEhqvg71tAl+PEQc4jmY086ZYjrYT&#10;R/ShdaQgnSYgkCpnWqoVbDcPk2sQgTUZ3TlCBZ8YYFmenhQ6N26gZzyuuRaxhEKuFTTMfS5lqBq0&#10;OkxdjxS9N+et5ih9LY3XQyy3nZwlyZW0uqW40Oge7xqs9uuDVbDYDJdu5fcvWdp+vH7dv3P/+MRK&#10;nZ+NtzcgGEf+C8MPfkSHMjLt3IFMEJ2CSZpEdFZwkc1BxMAsW4DY/WpZFvL/gfIbAAD//wMAUEsB&#10;Ai0AFAAGAAgAAAAhALaDOJL+AAAA4QEAABMAAAAAAAAAAAAAAAAAAAAAAFtDb250ZW50X1R5cGVz&#10;XS54bWxQSwECLQAUAAYACAAAACEAOP0h/9YAAACUAQAACwAAAAAAAAAAAAAAAAAvAQAAX3JlbHMv&#10;LnJlbHNQSwECLQAUAAYACAAAACEAi3KepmICAAB3BAAADgAAAAAAAAAAAAAAAAAuAgAAZHJzL2Uy&#10;b0RvYy54bWxQSwECLQAUAAYACAAAACEAnjo+hd4AAAAIAQAADwAAAAAAAAAAAAAAAAC8BAAAZHJz&#10;L2Rvd25yZXYueG1sUEsFBgAAAAAEAAQA8wAAAMcFAAAAAA==&#10;">
                      <v:stroke endarrow="block"/>
                    </v:line>
                  </w:pict>
                </mc:Fallback>
              </mc:AlternateContent>
            </w:r>
          </w:p>
        </w:tc>
        <w:tc>
          <w:tcPr>
            <w:tcW w:w="3806"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Pr>
                <w:rFonts w:ascii="Times New Roman" w:eastAsia="Times New Roman" w:hAnsi="Times New Roman" w:cs="Times New Roman"/>
                <w:sz w:val="21"/>
                <w:szCs w:val="21"/>
                <w:lang w:eastAsia="ru-RU"/>
              </w:rPr>
              <w:t>Розмір частинок ЛРС</w:t>
            </w:r>
            <w:r w:rsidRPr="00CF22AE">
              <w:rPr>
                <w:rFonts w:ascii="Times New Roman" w:eastAsia="Times New Roman" w:hAnsi="Times New Roman" w:cs="Times New Roman"/>
                <w:sz w:val="21"/>
                <w:szCs w:val="21"/>
                <w:lang w:eastAsia="ru-RU"/>
              </w:rPr>
              <w:t xml:space="preserve">, кількість </w:t>
            </w:r>
          </w:p>
        </w:tc>
      </w:tr>
      <w:tr w:rsidR="00B314BF" w:rsidRPr="00CF22AE" w:rsidTr="00A570B1">
        <w:trPr>
          <w:trHeight w:val="314"/>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4624" behindDoc="0" locked="0" layoutInCell="1" allowOverlap="1" wp14:anchorId="0EDA85BF" wp14:editId="7049AC1A">
                      <wp:simplePos x="0" y="0"/>
                      <wp:positionH relativeFrom="column">
                        <wp:posOffset>956996</wp:posOffset>
                      </wp:positionH>
                      <wp:positionV relativeFrom="paragraph">
                        <wp:posOffset>-1905</wp:posOffset>
                      </wp:positionV>
                      <wp:extent cx="0" cy="219075"/>
                      <wp:effectExtent l="76200" t="0" r="76200" b="47625"/>
                      <wp:wrapNone/>
                      <wp:docPr id="46" name="Пряма сполучна лінія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096E54E" id="Пряма сполучна лінія 46" o:spid="_x0000_s1026" style="position:absolute;flip:x;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35pt,-.15pt" to="75.35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ZJYQIAAHcEAAAOAAAAZHJzL2Uyb0RvYy54bWysVM1uEzEQviPxDpbv6e6GTZqsuqlQNoFD&#10;gUotD+CsvVkLr23Zbn6EkEAcOPbWK6/AHQqvsPtGjJ00pXBBiByc8Xjmm2/Gn/fkdNMItGLGciVz&#10;nBzFGDFZKsrlMsevL+e9EUbWEUmJUJLleMssPp08fnSy1hnrq1oJygwCEGmztc5x7ZzOosiWNWuI&#10;PVKaSTislGmIg61ZRtSQNaA3IurH8TBaK0O1USWzFrzF7hBPAn5VsdK9qirLHBI5Bm4urCasC79G&#10;kxOSLQ3RNS/3NMg/sGgIl1D0AFUQR9CV4X9ANbw0yqrKHZWqiVRV8ZKFHqCbJP6tm4uaaBZ6geFY&#10;fRiT/X+w5cvVuUGc5jgdYiRJA3fUfu7ed9ftt/YL6j60P9rv7dfuY/epvQUHmDftbXfTXSNIgOmt&#10;tc0AZCrPje+/3MgLfabKNxZJNa2JXLLQxeVWA3LiM6IHKX5jNXBYrF8oCjHkyqkwyk1lGlQJrp/7&#10;RA8O40KbcHfbw92xjUPlzlmCt5+M4+NBKEMyj+DztLHuGVMN8kaOBZd+qiQjqzPrPKP7EO+Was6F&#10;CMoQEq1zPB70ByHBKsGpP/Rh1iwXU2HQinhthd++7oMwo64kDWA1I3S2tx3hAmzkwlyc4TApwbCv&#10;1jCKkWDwnLy1oyekrwi9AuG9tZPX23E8no1mo7SX9oezXhoXRe/pfJr2hvPkeFA8KabTInnnySdp&#10;VnNKmfT876SepH8npf2j24n0IPbDoKKH6GGiQPbuP5AO1+5veqeZhaLbc+O78woAdYfg/Uv0z+fX&#10;fYi6/15MfgIAAP//AwBQSwMEFAAGAAgAAAAhACLyGq3eAAAACAEAAA8AAABkcnMvZG93bnJldi54&#10;bWxMj8tOwzAQRfdI/IM1SOxapy+gIU6FEEhdodIipO7ceEhC43Gw3Sbl65mygeXRvbpzJlv0thFH&#10;9KF2pGA0TEAgFc7UVCp42zwP7kCEqMnoxhEqOGGARX55kenUuI5e8biOpeARCqlWUMXYplKGokKr&#10;w9C1SJx9OG91ZPSlNF53PG4bOU6SG2l1TXyh0i0+Vljs1werYL7pZm7l9+/TUf21/X76jO3yJSp1&#10;fdU/3IOI2Me/Mpz1WR1ydtq5A5kgGuZZcstVBYMJiHP+yzsFk+kYZJ7J/w/kPwAAAP//AwBQSwEC&#10;LQAUAAYACAAAACEAtoM4kv4AAADhAQAAEwAAAAAAAAAAAAAAAAAAAAAAW0NvbnRlbnRfVHlwZXNd&#10;LnhtbFBLAQItABQABgAIAAAAIQA4/SH/1gAAAJQBAAALAAAAAAAAAAAAAAAAAC8BAABfcmVscy8u&#10;cmVsc1BLAQItABQABgAIAAAAIQC+8zZJYQIAAHcEAAAOAAAAAAAAAAAAAAAAAC4CAABkcnMvZTJv&#10;RG9jLnhtbFBLAQItABQABgAIAAAAIQAi8hqt3gAAAAgBAAAPAAAAAAAAAAAAAAAAALsEAABkcnMv&#10;ZG93bnJldi54bWxQSwUGAAAAAAQABADzAAAAxgUAAAAA&#10;">
                      <v:stroke endarrow="block"/>
                    </v:line>
                  </w:pict>
                </mc:Fallback>
              </mc:AlternateContent>
            </w: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56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96 % етиловий спирт, вода очищена</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5648" behindDoc="0" locked="0" layoutInCell="1" allowOverlap="1" wp14:anchorId="555C58BB" wp14:editId="52C4DE5E">
                      <wp:simplePos x="0" y="0"/>
                      <wp:positionH relativeFrom="column">
                        <wp:posOffset>-69850</wp:posOffset>
                      </wp:positionH>
                      <wp:positionV relativeFrom="paragraph">
                        <wp:posOffset>244475</wp:posOffset>
                      </wp:positionV>
                      <wp:extent cx="176530" cy="0"/>
                      <wp:effectExtent l="0" t="76200" r="13970" b="95250"/>
                      <wp:wrapNone/>
                      <wp:docPr id="47" name="Пряма сполучна лінія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F1B66C" id="Пряма сполучна лінія 47"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9.25pt" to="8.4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iKNXAIAAG0EAAAOAAAAZHJzL2Uyb0RvYy54bWysVM1uEzEQviPxDpbv6WbTTZquuqlQNuFS&#10;oFLLAzi2N2vhtVe2m02EkEAcOPbWK6/AHQqvsPtGjJ0fWrggRA7O2DPz+Ztvxnt2vq4kWnFjhVYZ&#10;jo/6GHFFNRNqmeHX1/PeGCPriGJEasUzvOEWn0+ePjlr6pQPdKkl4wYBiLJpU2e4dK5Oo8jSklfE&#10;HumaK3AW2lTEwdYsI2ZIA+iVjAb9/ihqtGG10ZRbC6f51oknAb8oOHWvisJyh2SGgZsLqwnrwq/R&#10;5IykS0PqUtAdDfIPLCoiFFx6gMqJI+jGiD+gKkGNtrpwR1RXkS4KQXmoAaqJ+79Vc1WSmodaQBxb&#10;H2Sy/w+WvlxdGiRYhpMTjBSpoEft5+59d9t+a7+g7kP7o/3efu0+dp/aezgA86697+66WwQJoF5T&#10;2xRApurS+PrpWl3VF5q+sUjpaUnUkocqrjc1IMc+I3qU4je2Bg6L5oVmEENunA5SrgtTeUgQCa1D&#10;xzaHjvG1QxQO45PR8Bj6SveuiKT7vNpY95zrCnkjw1IoryVJyerCOs+DpPsQf6z0XEgZ5kEq1GT4&#10;dDgYhgSrpWDe6cOsWS6m0qAV8RMVfqEo8DwMM/pGsQBWcsJmO9sRIcFGLqjhjAB9JMf+toozjCSH&#10;R+StLT2p/I1QKxDeWduhenvaP52NZ+OklwxGs17Sz/Pes/k06Y3m8ckwP86n0zx+58nHSVoKxrjy&#10;/PcDHid/N0C7p7YdzcOIH4SKHqMHRYHs/j+QDs32/d1OykKzzaXx1fm+w0yH4N3784/m4T5E/fpK&#10;TH4CAAD//wMAUEsDBBQABgAIAAAAIQBNjzcr3gAAAAgBAAAPAAAAZHJzL2Rvd25yZXYueG1sTI9B&#10;S8NAEIXvgv9hGcFbu4liCWkmRYR6aVXaitTbNjsmwexs2N208d+7pQc9Pubx5vuKxWg6cSTnW8sI&#10;6TQBQVxZ3XKN8L5bTjIQPijWqrNMCD/kYVFeXxUq1/bEGzpuQy3iCPtcITQh9LmUvmrIKD+1PXG8&#10;fVlnVIjR1VI7dYrjppN3STKTRrUcPzSqp6eGqu/tYBA26+Uq+1gNY+U+n9PX3dv6Ze8zxNub8XEO&#10;ItAY/spwxo/oUEamgx1Ye9EhTNI0ugSE++wBxLkwiyqHS5ZlIf8LlL8AAAD//wMAUEsBAi0AFAAG&#10;AAgAAAAhALaDOJL+AAAA4QEAABMAAAAAAAAAAAAAAAAAAAAAAFtDb250ZW50X1R5cGVzXS54bWxQ&#10;SwECLQAUAAYACAAAACEAOP0h/9YAAACUAQAACwAAAAAAAAAAAAAAAAAvAQAAX3JlbHMvLnJlbHNQ&#10;SwECLQAUAAYACAAAACEAQh4ijVwCAABtBAAADgAAAAAAAAAAAAAAAAAuAgAAZHJzL2Uyb0RvYy54&#10;bWxQSwECLQAUAAYACAAAACEATY83K94AAAAIAQAADwAAAAAAAAAAAAAAAAC2BAAAZHJzL2Rvd25y&#10;ZXYueG1sUEsFBgAAAAAEAAQA8wAAAMEFAAAAAA==&#10;">
                      <v:stroke endarrow="block"/>
                    </v:line>
                  </w:pict>
                </mc:Fallback>
              </mc:AlternateContent>
            </w:r>
          </w:p>
        </w:tc>
        <w:tc>
          <w:tcPr>
            <w:tcW w:w="3449" w:type="dxa"/>
            <w:gridSpan w:val="2"/>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2 </w:t>
            </w:r>
            <w:r w:rsidRPr="00CF22AE">
              <w:rPr>
                <w:rFonts w:ascii="Times New Roman" w:eastAsia="Times New Roman" w:hAnsi="Times New Roman" w:cs="Times New Roman"/>
                <w:sz w:val="21"/>
                <w:szCs w:val="21"/>
                <w:lang w:eastAsia="ru-RU"/>
              </w:rPr>
              <w:t>Отримання 70 % етилового спирту</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Мірник</w:t>
            </w:r>
            <w:r w:rsidR="006A0E40">
              <w:rPr>
                <w:rFonts w:ascii="Times New Roman" w:eastAsia="Times New Roman" w:hAnsi="Times New Roman" w:cs="Times New Roman"/>
                <w:sz w:val="21"/>
                <w:szCs w:val="21"/>
                <w:lang w:eastAsia="ru-RU"/>
              </w:rPr>
              <w:t>, вага</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6672" behindDoc="0" locked="0" layoutInCell="1" allowOverlap="1" wp14:anchorId="65938D38" wp14:editId="689D8BB6">
                      <wp:simplePos x="0" y="0"/>
                      <wp:positionH relativeFrom="column">
                        <wp:posOffset>-64461</wp:posOffset>
                      </wp:positionH>
                      <wp:positionV relativeFrom="paragraph">
                        <wp:posOffset>244475</wp:posOffset>
                      </wp:positionV>
                      <wp:extent cx="226695" cy="0"/>
                      <wp:effectExtent l="38100" t="76200" r="0" b="95250"/>
                      <wp:wrapNone/>
                      <wp:docPr id="48" name="Пряма сполучна лінія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66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FC42EC" id="Пряма сполучна лінія 48" o:spid="_x0000_s1026" style="position:absolute;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1pt,19.25pt" to="12.75pt,1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Bl7YgIAAHcEAAAOAAAAZHJzL2Uyb0RvYy54bWysVMFuEzEQvSPxD5bv6WbDJiSrbiqUTeBQ&#10;oFLLBzhrb9bCa1u2m02EkEAcOPbWK7/AHQq/sPtHjJ00beGCEDk4Y8/M85uZ5z0+2dQCrZmxXMkM&#10;x0d9jJgsFOVyleE3F4veGCPriKREKMkyvGUWn0wfPzpudMoGqlKCMoMARNq00RmunNNpFNmiYjWx&#10;R0ozCc5SmZo42JpVRA1pAL0W0aDfH0WNMlQbVTBr4TTfOfE04JclK9zrsrTMIZFh4ObCasK69Gs0&#10;PSbpyhBd8WJPg/wDi5pwCZceoHLiCLo0/A+omhdGWVW6o0LVkSpLXrBQA1QT93+r5rwimoVaoDlW&#10;H9pk/x9s8Wp9ZhCnGU5gUpLUMKP2S/ehu2q/t19R97H92f5ov3Wfus/tDRyAed3edNfdFYIE6F6j&#10;bQogM3lmfP3FRp7rU1W8tUiqWUXkioUqLrYakGOfET1I8RurgcOyeakoxJBLp0IrN6WpUSm4fuET&#10;PTi0C23C7LaH2bGNQwUcDgaj0WSIUXHrikjqEXyeNtY9Z6pG3siw4NJ3laRkfWqdZ3QX4o+lWnAh&#10;gjKERE2GJ8PBMCRYJTj1Th9mzWo5EwatiddW+IXywHM/zKhLSQNYxQid721HuAAbudAXZzh0SjDs&#10;b6sZxUgweE7e2tET0t8ItQLhvbWT17tJfzIfz8dJLxmM5r2kn+e9Z4tZ0hst4qfD/Ek+m+Xxe08+&#10;TtKKU8qk538r9Tj5OyntH91OpAexHxoVPUQPHQWyt/+BdBi7n/ROM0tFt2fGV+cVAOoOwfuX6J/P&#10;/X2IuvteTH8BAAD//wMAUEsDBBQABgAIAAAAIQDT0VxX3gAAAAgBAAAPAAAAZHJzL2Rvd25yZXYu&#10;eG1sTI/BSsNAEIbvgu+wjOCt3SQaqTGbIqLgSbSVQm/b7JjEZmfj7raJPr0jHvQ0/MzHP9+Uy8n2&#10;4og+dI4UpPMEBFLtTEeNgtf1w2wBIkRNRveOUMEnBlhWpyelLowb6QWPq9gILqFQaAVtjEMhZahb&#10;tDrM3YDEuzfnrY4cfSON1yOX215mSXIlre6IL7R6wLsW6/3qYBVcr8fcPfv95jLtPrZf9+9xeHyK&#10;Sp2fTbc3ICJO8Q+GH31Wh4qddu5AJohewSxNMkYVXCxyEAxkOc/db5ZVKf8/UH0DAAD//wMAUEsB&#10;Ai0AFAAGAAgAAAAhALaDOJL+AAAA4QEAABMAAAAAAAAAAAAAAAAAAAAAAFtDb250ZW50X1R5cGVz&#10;XS54bWxQSwECLQAUAAYACAAAACEAOP0h/9YAAACUAQAACwAAAAAAAAAAAAAAAAAvAQAAX3JlbHMv&#10;LnJlbHNQSwECLQAUAAYACAAAACEAkQgZe2ICAAB3BAAADgAAAAAAAAAAAAAAAAAuAgAAZHJzL2Uy&#10;b0RvYy54bWxQSwECLQAUAAYACAAAACEA09FcV94AAAAIAQAADwAAAAAAAAAAAAAAAAC8BAAAZHJz&#10;L2Rvd25yZXYueG1sUEsFBgAAAAAEAAQA8wAAAMcFAAAAAA==&#10;">
                      <v:stroke endarrow="block"/>
                    </v:line>
                  </w:pict>
                </mc:Fallback>
              </mc:AlternateContent>
            </w:r>
          </w:p>
        </w:tc>
        <w:tc>
          <w:tcPr>
            <w:tcW w:w="3806"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Pr>
                <w:rFonts w:ascii="Times New Roman" w:eastAsia="Times New Roman" w:hAnsi="Times New Roman" w:cs="Times New Roman"/>
                <w:sz w:val="21"/>
                <w:szCs w:val="21"/>
                <w:lang w:eastAsia="ru-RU"/>
              </w:rPr>
              <w:t>Концентрація</w:t>
            </w:r>
            <w:r w:rsidRPr="00CF22AE">
              <w:rPr>
                <w:rFonts w:ascii="Times New Roman" w:eastAsia="Times New Roman" w:hAnsi="Times New Roman" w:cs="Times New Roman"/>
                <w:sz w:val="21"/>
                <w:szCs w:val="21"/>
                <w:lang w:eastAsia="ru-RU"/>
              </w:rPr>
              <w:t xml:space="preserve"> спирту, об’єм</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1552" behindDoc="0" locked="0" layoutInCell="1" allowOverlap="1" wp14:anchorId="7F05B44F" wp14:editId="18E329D2">
                      <wp:simplePos x="0" y="0"/>
                      <wp:positionH relativeFrom="column">
                        <wp:posOffset>960103</wp:posOffset>
                      </wp:positionH>
                      <wp:positionV relativeFrom="paragraph">
                        <wp:posOffset>30549</wp:posOffset>
                      </wp:positionV>
                      <wp:extent cx="0" cy="102235"/>
                      <wp:effectExtent l="76200" t="0" r="57150" b="50165"/>
                      <wp:wrapNone/>
                      <wp:docPr id="49" name="Пряма сполучна ліні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223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8C8FA59" id="Пряма сполучна лінія 4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6pt,2.4pt" to="75.6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lMaZWgIAAG0EAAAOAAAAZHJzL2Uyb0RvYy54bWysVM2O0zAQviPxDpbv3STddNlGm65Q03JZ&#10;YKVdHsC1ncbCsSPb27RCSCAOHPe2V16BOyy8QvJGjN0fWLggRA/ueDzz+Ztvxjk7X9cSrbixQqsc&#10;J0cxRlxRzYRa5vjV9XxwipF1RDEiteI53nCLzyePH521TcaHutKScYMARNmsbXJcOddkUWRpxWti&#10;j3TDFRyW2tTEwdYsI2ZIC+i1jIZxfBK12rDGaMqtBW+xPcSTgF+WnLqXZWm5QzLHwM2F1YR14ddo&#10;ckaypSFNJeiOBvkHFjURCi49QBXEEXRjxB9QtaBGW126I6rrSJeloDzUANUk8W/VXFWk4aEWEMc2&#10;B5ns/4OlL1aXBgmW43SMkSI19Kj71L/rb7uv3WfUv+++d9+6L/2H/mN3Dw4w77r7/q6/RZAA6rWN&#10;zQBkqi6Nr5+u1VVzoelri5SeVkQteajietMAcuIzogcpfmMb4LBon2sGMeTG6SDlujS1hwSR0Dp0&#10;bHPoGF87RLdOCt4kHg6PRwGcZPu8xlj3jOsaeSPHUiivJcnI6sI6z4Nk+xDvVnoupAzzIBVqczwe&#10;DUchwWopmD/0YdYsF1Np0Ir4iQq/3b0Pwoy+USyAVZyw2c52REiwkQtqOCNAH8mxv63mDCPJ4RF5&#10;a0tPKn8j1AqEd9Z2qN6M4/HsdHaaDtLhyWyQxkUxeDqfpoOTefJkVBwX02mRvPXkkzSrBGNcef77&#10;AU/Svxug3VPbjuZhxA9CRQ/Rg6JAdv8fSIdm+/5uJ2Wh2ebS+Op832GmQ/Du/flH8+s+RP38Skx+&#10;AAAA//8DAFBLAwQUAAYACAAAACEAJ/Jw6t0AAAAIAQAADwAAAGRycy9kb3ducmV2LnhtbEyPzUrD&#10;QBSF94LvMFzBnZ0kqMSYSRGhblotbUV0N81ck2DmTpiZtPHtvXWjy49zOD/lfLK9OKAPnSMF6SwB&#10;gVQ701Gj4HW3uMpBhKjJ6N4RKvjGAPPq/KzUhXFH2uBhGxvBIRQKraCNcSikDHWLVoeZG5BY+3Te&#10;6sjoG2m8PnK47WWWJLfS6o64odUDPrZYf21Hq2CzWizzt+U41f7jKX3ZrVfP7yFX6vJiergHEXGK&#10;f2Y4zefpUPGmvRvJBNEz36QZWxVc84OT/st7BVlyB7Iq5f8D1Q8AAAD//wMAUEsBAi0AFAAGAAgA&#10;AAAhALaDOJL+AAAA4QEAABMAAAAAAAAAAAAAAAAAAAAAAFtDb250ZW50X1R5cGVzXS54bWxQSwEC&#10;LQAUAAYACAAAACEAOP0h/9YAAACUAQAACwAAAAAAAAAAAAAAAAAvAQAAX3JlbHMvLnJlbHNQSwEC&#10;LQAUAAYACAAAACEAzpTGmVoCAABtBAAADgAAAAAAAAAAAAAAAAAuAgAAZHJzL2Uyb0RvYy54bWxQ&#10;SwECLQAUAAYACAAAACEAJ/Jw6t0AAAAIAQAADwAAAAAAAAAAAAAAAAC0BAAAZHJzL2Rvd25yZXYu&#10;eG1sUEsFBgAAAAAEAAQA8wAAAL4FAAAAAA==&#10;">
                      <v:stroke endarrow="block"/>
                    </v:line>
                  </w:pict>
                </mc:Fallback>
              </mc:AlternateContent>
            </w: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1107"/>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Подрібнена сировина із стадії 1, 70 % етиловий спирт</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9504" behindDoc="0" locked="0" layoutInCell="1" allowOverlap="1" wp14:anchorId="5DC81F26" wp14:editId="615FE80B">
                      <wp:simplePos x="0" y="0"/>
                      <wp:positionH relativeFrom="column">
                        <wp:posOffset>-68580</wp:posOffset>
                      </wp:positionH>
                      <wp:positionV relativeFrom="paragraph">
                        <wp:posOffset>335915</wp:posOffset>
                      </wp:positionV>
                      <wp:extent cx="197485" cy="0"/>
                      <wp:effectExtent l="7620" t="59690" r="23495" b="54610"/>
                      <wp:wrapNone/>
                      <wp:docPr id="52" name="Пряма сполучна ліні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48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F3116E" id="Пряма сполучна лінія 5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6.45pt" to="10.15pt,2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7XdXAIAAG0EAAAOAAAAZHJzL2Uyb0RvYy54bWysVM1uEzEQviPxDpbv6WbDpk1W3VQom3Ap&#10;UKnlARzbm7Xw2ivbzSZCSKAeOPbWK6/AHQqvsPtGjJ0fWrggRA7O2DPz+Ztvxnt6tq4kWnFjhVYZ&#10;jo/6GHFFNRNqmeE3V/PeCCPriGJEasUzvOEWn02ePjlt6pQPdKkl4wYBiLJpU2e4dK5Oo8jSklfE&#10;HumaK3AW2lTEwdYsI2ZIA+iVjAb9/nHUaMNqoym3Fk7zrRNPAn5RcOpeF4XlDskMAzcXVhPWhV+j&#10;ySlJl4bUpaA7GuQfWFREKLj0AJUTR9C1EX9AVYIabXXhjqiuIl0UgvJQA1QT93+r5rIkNQ+1gDi2&#10;Pshk/x8sfbW6MEiwDA8HGClSQY/az92H7rb91n5B3cf2R/u9/drddJ/aezgA86697+66WwQJoF5T&#10;2xRApurC+PrpWl3W55q+tUjpaUnUkocqrjY1IMc+I3qU4je2Bg6L5qVmEEOunQ5SrgtTeUgQCa1D&#10;xzaHjvG1QxQO4/FJMhpiRPeuiKT7vNpY94LrCnkjw1IoryVJyercOs+DpPsQf6z0XEgZ5kEq1GR4&#10;PBwMQ4LVUjDv9GHWLBdTadCK+IkKv1AUeB6GGX2tWAArOWGzne2IkGAjF9RwRoA+kmN/W8UZRpLD&#10;I/LWlp5U/kaoFQjvrO1QvRv3x7PRbJT0ksHxrJf087z3fD5Nesfz+GSYP8un0zx+78nHSVoKxrjy&#10;/PcDHid/N0C7p7YdzcOIH4SKHqMHRYHs/j+QDs32/d1OykKzzYXx1fm+w0yH4N3784/m4T5E/fpK&#10;TH4CAAD//wMAUEsDBBQABgAIAAAAIQDis32z3wAAAAgBAAAPAAAAZHJzL2Rvd25yZXYueG1sTI9B&#10;S8NAFITvQv/D8gre2t1ElJhmU0Sol1ZLWxG9bbOvSTD7Nuxu2vjvXfGgx2GGmW+K5Wg6dkbnW0sS&#10;krkAhlRZ3VIt4fWwmmXAfFCkVWcJJXyhh2U5uSpUru2Fdnjeh5rFEvK5ktCE0Oec+6pBo/zc9kjR&#10;O1lnVIjS1Vw7dYnlpuOpEHfcqJbiQqN6fGyw+twPRsJus1pnb+thrNzHU/Jy2G6e330m5fV0fFgA&#10;CziGvzD84Ed0KCPT0Q6kPeskzBIR0YOE2/QeWAyk4gbY8VfzsuD/D5TfAAAA//8DAFBLAQItABQA&#10;BgAIAAAAIQC2gziS/gAAAOEBAAATAAAAAAAAAAAAAAAAAAAAAABbQ29udGVudF9UeXBlc10ueG1s&#10;UEsBAi0AFAAGAAgAAAAhADj9If/WAAAAlAEAAAsAAAAAAAAAAAAAAAAALwEAAF9yZWxzLy5yZWxz&#10;UEsBAi0AFAAGAAgAAAAhAKZPtd1cAgAAbQQAAA4AAAAAAAAAAAAAAAAALgIAAGRycy9lMm9Eb2Mu&#10;eG1sUEsBAi0AFAAGAAgAAAAhAOKzfbPfAAAACAEAAA8AAAAAAAAAAAAAAAAAtgQAAGRycy9kb3du&#10;cmV2LnhtbFBLBQYAAAAABAAEAPMAAADCBQAAAAA=&#10;">
                      <v:stroke endarrow="block"/>
                    </v:line>
                  </w:pict>
                </mc:Fallback>
              </mc:AlternateContent>
            </w:r>
          </w:p>
        </w:tc>
        <w:tc>
          <w:tcPr>
            <w:tcW w:w="3449" w:type="dxa"/>
            <w:gridSpan w:val="2"/>
            <w:tcBorders>
              <w:bottom w:val="single" w:sz="4" w:space="0" w:color="auto"/>
            </w:tcBorders>
            <w:shd w:val="clear" w:color="auto" w:fill="CCCCCC"/>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3 </w:t>
            </w:r>
            <w:r w:rsidRPr="00CF22AE">
              <w:rPr>
                <w:rFonts w:ascii="Times New Roman" w:eastAsia="Times New Roman" w:hAnsi="Times New Roman" w:cs="Times New Roman"/>
                <w:sz w:val="21"/>
                <w:szCs w:val="21"/>
                <w:lang w:eastAsia="ru-RU"/>
              </w:rPr>
              <w:t>Одержання спиртової витяжки</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Екстрактор</w:t>
            </w:r>
            <w:r w:rsidR="006A0E40">
              <w:rPr>
                <w:rFonts w:ascii="Times New Roman" w:eastAsia="Times New Roman" w:hAnsi="Times New Roman" w:cs="Times New Roman"/>
                <w:sz w:val="21"/>
                <w:szCs w:val="21"/>
                <w:lang w:eastAsia="ru-RU"/>
              </w:rPr>
              <w:t>, збірник</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59264" behindDoc="0" locked="0" layoutInCell="1" allowOverlap="1" wp14:anchorId="3755D5C6" wp14:editId="72F6D65B">
                      <wp:simplePos x="0" y="0"/>
                      <wp:positionH relativeFrom="column">
                        <wp:posOffset>-68580</wp:posOffset>
                      </wp:positionH>
                      <wp:positionV relativeFrom="paragraph">
                        <wp:posOffset>269240</wp:posOffset>
                      </wp:positionV>
                      <wp:extent cx="226695" cy="0"/>
                      <wp:effectExtent l="17145" t="59690" r="13335" b="54610"/>
                      <wp:wrapNone/>
                      <wp:docPr id="53" name="Пряма сполучна лінія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66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19A8633" id="Пряма сполучна лінія 53"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1.2pt" to="12.4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B8iYwIAAHcEAAAOAAAAZHJzL2Uyb0RvYy54bWysVMFuEzEQvSPxD5bvyWbTJDSrbiqUTeBQ&#10;oFLLBzhrb9bCa1u2k02EkKg4cOytV36BOxR+YfePGDtp2sIFIXJwxp6Z5zczz3tyuqkEWjNjuZIp&#10;jrs9jJjMFeVymeK3l/POMUbWEUmJUJKleMssPp08fXJS64T1VakEZQYBiLRJrVNcOqeTKLJ5ySpi&#10;u0ozCc5CmYo42JplRA2pAb0SUb/XG0W1MlQblTNr4TTbOfEk4BcFy92borDMIZFi4ObCasK68Gs0&#10;OSHJ0hBd8nxPg/wDi4pwCZceoDLiCFoZ/gdUxXOjrCpcN1dVpIqC5yzUANXEvd+quSiJZqEWaI7V&#10;hzbZ/webv16fG8RpiodHGElSwYyaL+3H9rr53nxF7VXzs/nRfGs/tZ+bWzgA86a5bW/aawQJ0L1a&#10;2wRApvLc+PrzjbzQZyp/Z5FU05LIJQtVXG41IMc+I3qU4jdWA4dF/UpRiCErp0IrN4WpUCG4fukT&#10;PTi0C23C7LaH2bGNQzkc9vuj0XiIUX7nikjiEXyeNta9YKpC3kix4NJ3lSRkfWadZ3Qf4o+lmnMh&#10;gjKERHWKx8P+MCRYJTj1Th9mzXIxFQatiddW+IXywPMwzKiVpAGsZITO9rYjXICNXOiLMxw6JRj2&#10;t1WMYiQYPCdv7egJ6W+EWoHw3trJ6/24N54dz44HnUF/NOsMelnWeT6fDjqjefxsmB1l02kWf/Dk&#10;40FSckqZ9PzvpB4P/k5K+0e3E+lB7IdGRY/RQ0eB7N1/IB3G7ie908xC0e258dV5BYC6Q/D+Jfrn&#10;83Afou6/F5NfAAAA//8DAFBLAwQUAAYACAAAACEAgAeNvd4AAAAIAQAADwAAAGRycy9kb3ducmV2&#10;LnhtbEyPQUvDQBSE74L/YXmCt3aTEMXGbIqIgifRVgq9bbPPJDb7Nu6+NtFf7xYPehxmmPmmXE62&#10;F0f0oXOkIJ0nIJBqZzpqFLytH2c3IAJrMrp3hAq+MMCyOj8rdWHcSK94XHEjYgmFQitomYdCylC3&#10;aHWYuwEpeu/OW81R+kYar8dYbnuZJcm1tLqjuNDqAe9brPerg1WwWI9X7sXvN3nafW6/Hz54eHpm&#10;pS4vprtbEIwT/4XhhB/RoYpMO3cgE0SvYJYmEZ0V5FkOIgayfAFi96tlVcr/B6ofAAAA//8DAFBL&#10;AQItABQABgAIAAAAIQC2gziS/gAAAOEBAAATAAAAAAAAAAAAAAAAAAAAAABbQ29udGVudF9UeXBl&#10;c10ueG1sUEsBAi0AFAAGAAgAAAAhADj9If/WAAAAlAEAAAsAAAAAAAAAAAAAAAAALwEAAF9yZWxz&#10;Ly5yZWxzUEsBAi0AFAAGAAgAAAAhAFtMHyJjAgAAdwQAAA4AAAAAAAAAAAAAAAAALgIAAGRycy9l&#10;Mm9Eb2MueG1sUEsBAi0AFAAGAAgAAAAhAIAHjb3eAAAACAEAAA8AAAAAAAAAAAAAAAAAvQQAAGRy&#10;cy9kb3ducmV2LnhtbFBLBQYAAAAABAAEAPMAAADIBQAAAAA=&#10;">
                      <v:stroke endarrow="block"/>
                    </v:line>
                  </w:pict>
                </mc:Fallback>
              </mc:AlternateContent>
            </w:r>
          </w:p>
        </w:tc>
        <w:tc>
          <w:tcPr>
            <w:tcW w:w="3806" w:type="dxa"/>
            <w:tcBorders>
              <w:bottom w:val="single" w:sz="4" w:space="0" w:color="auto"/>
            </w:tcBorders>
            <w:shd w:val="clear" w:color="auto" w:fill="C0C0C0"/>
          </w:tcPr>
          <w:p w:rsidR="00B314BF" w:rsidRPr="00CF22AE" w:rsidRDefault="00B314BF" w:rsidP="006A0E40">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Час настоювання сировини, шви</w:t>
            </w:r>
            <w:r w:rsidR="003E1E87">
              <w:rPr>
                <w:rFonts w:ascii="Times New Roman" w:eastAsia="Times New Roman" w:hAnsi="Times New Roman" w:cs="Times New Roman"/>
                <w:sz w:val="21"/>
                <w:szCs w:val="21"/>
                <w:lang w:eastAsia="ru-RU"/>
              </w:rPr>
              <w:t>дкість екстрагування, концентрація</w:t>
            </w:r>
            <w:r w:rsidRPr="00CF22AE">
              <w:rPr>
                <w:rFonts w:ascii="Times New Roman" w:eastAsia="Times New Roman" w:hAnsi="Times New Roman" w:cs="Times New Roman"/>
                <w:sz w:val="21"/>
                <w:szCs w:val="21"/>
                <w:lang w:eastAsia="ru-RU"/>
              </w:rPr>
              <w:t xml:space="preserve">  спирту, ідентиф</w:t>
            </w:r>
            <w:r w:rsidR="003E1E87">
              <w:rPr>
                <w:rFonts w:ascii="Times New Roman" w:eastAsia="Times New Roman" w:hAnsi="Times New Roman" w:cs="Times New Roman"/>
                <w:sz w:val="21"/>
                <w:szCs w:val="21"/>
                <w:lang w:eastAsia="ru-RU"/>
              </w:rPr>
              <w:t>ікація та кількісний вміст БАР</w:t>
            </w:r>
          </w:p>
        </w:tc>
      </w:tr>
      <w:tr w:rsidR="00B314BF" w:rsidRPr="00CF22AE" w:rsidTr="00A570B1">
        <w:trPr>
          <w:trHeight w:val="316"/>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7696" behindDoc="0" locked="0" layoutInCell="1" allowOverlap="1" wp14:anchorId="028A6191" wp14:editId="11CD9893">
                      <wp:simplePos x="0" y="0"/>
                      <wp:positionH relativeFrom="column">
                        <wp:posOffset>961991</wp:posOffset>
                      </wp:positionH>
                      <wp:positionV relativeFrom="paragraph">
                        <wp:posOffset>-6350</wp:posOffset>
                      </wp:positionV>
                      <wp:extent cx="0" cy="219075"/>
                      <wp:effectExtent l="76200" t="0" r="76200" b="47625"/>
                      <wp:wrapNone/>
                      <wp:docPr id="54"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97DAD4" id="Пряма сполучна лінія 34" o:spid="_x0000_s1026" style="position:absolute;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75pt,-.5pt" to="75.75pt,1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6UhYQIAAHcEAAAOAAAAZHJzL2Uyb0RvYy54bWysVMFuEzEQvSPxD5bvye6mmzZZdVOhbAKH&#10;ApVaPsCxvVkLr23ZbjYRQqLiwLG3XvkF7lD4hd0/wnbSlMAFIXJwxuOZN2/Gz3t6tq45WFFtmBQ5&#10;TPoxBFRgSZhY5vDN1bw3gsBYJAjiUtAcbqiBZ5OnT04bldGBrCQnVAMHIkzWqBxW1qosigyuaI1M&#10;Xyoq3GEpdY2s2+plRDRqHHrNo0EcH0eN1ERpiakxzltsD+Ek4JclxfZ1WRpqAc+h42bDqsO68Gs0&#10;OUXZUiNVMbyjgf6BRY2YcEX3UAWyCFxr9gdUzbCWRpa2j2UdybJkmIYeXDdJ/Fs3lxVSNPTihmPU&#10;fkzm/8HiV6sLDRjJ4TCFQKDa3VH7ufvQ3bbf2i+gu2l/tN/br93H7lN77xzOvGvvu7vuFhylfnqN&#10;MpkDmYoL7fvHa3GpziV+a4CQ0wqJJQ1dXG2UQ058RnSQ4jdGOQ6L5qUkLgZdWxlGuS51DUrO1Auf&#10;6MHduMA63N1mf3d0bQHeOrHzDpJxfDIMZVDmEXye0sY+p7IG3sghZ8JPFWVodW6sZ/QY4t1Czhnn&#10;QRlcgCaH4+FgGBKM5Iz4Qx9m9HIx5RqskNdW+O3qHoRpeS1IAKsoIrOdbRHjzgY2zMVq5ibFKfTV&#10;akog4NQ9J29t6XHhK7peHeGdtZXXu3E8no1mo7SXDo5nvTQuit6z+TTtHc+Tk2FxVEynRfLek0/S&#10;rGKEUOH5P0g9Sf9OSrtHtxXpXuz7QUWH6GGijuzDfyAdrt3f9FYzC0k2F9p35xXg1B2Cdy/RP59f&#10;9yHq8Xsx+QkAAP//AwBQSwMEFAAGAAgAAAAhAOSCuPveAAAACQEAAA8AAABkcnMvZG93bnJldi54&#10;bWxMj8FOwzAQRO9I/IO1SNxaJ5QgCHEqhEDihKBFSNzceJukjdfBdpvQr2fLpRxn9ml2ppiPthN7&#10;9KF1pCCdJiCQKmdaqhV8LJ8ntyBC1GR05wgV/GCAeXl+VujcuIHecb+IteAQCrlW0MTY51KGqkGr&#10;w9T1SHxbO291ZOlrabweONx28ipJbqTVLfGHRvf42GC1XeysgrvlkLk3v/28Ttvvr8PTJvYvr1Gp&#10;y4vx4R5ExDGeYDjW5+pQcqeV25EJomOdpRmjCiYpbzoCf8ZKwWyWgSwL+X9B+QsAAP//AwBQSwEC&#10;LQAUAAYACAAAACEAtoM4kv4AAADhAQAAEwAAAAAAAAAAAAAAAAAAAAAAW0NvbnRlbnRfVHlwZXNd&#10;LnhtbFBLAQItABQABgAIAAAAIQA4/SH/1gAAAJQBAAALAAAAAAAAAAAAAAAAAC8BAABfcmVscy8u&#10;cmVsc1BLAQItABQABgAIAAAAIQDYT6UhYQIAAHcEAAAOAAAAAAAAAAAAAAAAAC4CAABkcnMvZTJv&#10;RG9jLnhtbFBLAQItABQABgAIAAAAIQDkgrj73gAAAAkBAAAPAAAAAAAAAAAAAAAAALsEAABkcnMv&#10;ZG93bnJldi54bWxQSwUGAAAAAAQABADzAAAAxgUAAAAA&#10;">
                      <v:stroke endarrow="block"/>
                    </v:line>
                  </w:pict>
                </mc:Fallback>
              </mc:AlternateContent>
            </w: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978"/>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2816" behindDoc="0" locked="0" layoutInCell="1" allowOverlap="1" wp14:anchorId="1762E8EB" wp14:editId="488E3B9D">
                      <wp:simplePos x="0" y="0"/>
                      <wp:positionH relativeFrom="column">
                        <wp:posOffset>1795780</wp:posOffset>
                      </wp:positionH>
                      <wp:positionV relativeFrom="paragraph">
                        <wp:posOffset>327025</wp:posOffset>
                      </wp:positionV>
                      <wp:extent cx="176530" cy="0"/>
                      <wp:effectExtent l="0" t="76200" r="13970" b="95250"/>
                      <wp:wrapNone/>
                      <wp:docPr id="55"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4783EF2" id="Пряма сполучна лінія 32"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4pt,25.75pt" to="155.3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uXAIAAG0EAAAOAAAAZHJzL2Uyb0RvYy54bWysVM1uEzEQviPxDpbvyWbTJE1X3VQom3Ap&#10;UKnlARzbm7Xw2ivbySZCSCAOHHvrlVfgDoVX2H0jxs4PLVwQIgdn7Bl//uabmT2/2JQSrbmxQqsU&#10;x90eRlxRzYRapvj1zbwzxsg6ohiRWvEUb7nFF5OnT87rKuF9XWjJuEEAomxSVykunKuSKLK04CWx&#10;XV1xBc5cm5I42JplxAypAb2UUb/XG0W1NqwymnJr4TTbOfEk4Oc5p+5VnlvukEwxcHNhNWFd+DWa&#10;nJNkaUhVCLqnQf6BRUmEgkePUBlxBK2M+AOqFNRoq3PXpbqMdJ4LykMOkE3c+y2b64JUPOQC4tjq&#10;KJP9f7D05frKIMFSPBxipEgJNWo+t+/b2+Zb8wW1H5ofzffma/ux/dTcwwGYd819e9feopO+V6+u&#10;bAIgU3VlfP50o66rS03fWKT0tCBqyUMWN9sKkGN/I3p0xW9sBRwW9QvNIIasnA5SbnJTekgQCW1C&#10;xbbHivGNQxQO49PR8ATqSg+uiCSHe5Wx7jnXJfJGiqVQXkuSkPWldZ4HSQ4h/ljpuZAy9INUqE7x&#10;2bA/DBesloJ5pw+zZrmYSoPWxHdU+IWkwPMwzOiVYgGs4ITN9rYjQoKNXFDDGQH6SI79ayVnGEkO&#10;Q+StHT2p/IuQKxDeW7umenvWO5uNZ+NBZ9AfzTqDXpZ1ns2ng85oHp8Os5NsOs3id558PEgKwRhX&#10;nv+hwePB3zXQftR2rXls8aNQ0WP0oCiQPfwH0qHYvr67Tllotr0yPjtfd+jpELyfPz80D/ch6tdX&#10;YvITAAD//wMAUEsDBBQABgAIAAAAIQAtfpdh4AAAAAkBAAAPAAAAZHJzL2Rvd25yZXYueG1sTI9B&#10;S8NAEIXvgv9hGcGb3STSEmI2RYR6aVXaiuhtmh2TYHY27G7a+O9d6UGP8+bx3vfK5WR6cSTnO8sK&#10;0lkCgri2uuNGwet+dZOD8AFZY2+ZFHyTh2V1eVFioe2Jt3TchUbEEPYFKmhDGAopfd2SQT+zA3H8&#10;fVpnMMTTNVI7PMVw08ssSRbSYMexocWBHlqqv3ajUbDdrNb523qcavfxmD7vXzZP7z5X6vpqur8D&#10;EWgKf2b4xY/oUEWmgx1Ze9EryPIsogcF83QOIhpu02QB4nAWZFXK/wuqHwAAAP//AwBQSwECLQAU&#10;AAYACAAAACEAtoM4kv4AAADhAQAAEwAAAAAAAAAAAAAAAAAAAAAAW0NvbnRlbnRfVHlwZXNdLnht&#10;bFBLAQItABQABgAIAAAAIQA4/SH/1gAAAJQBAAALAAAAAAAAAAAAAAAAAC8BAABfcmVscy8ucmVs&#10;c1BLAQItABQABgAIAAAAIQA/84/uXAIAAG0EAAAOAAAAAAAAAAAAAAAAAC4CAABkcnMvZTJvRG9j&#10;LnhtbFBLAQItABQABgAIAAAAIQAtfpdh4AAAAAkBAAAPAAAAAAAAAAAAAAAAALYEAABkcnMvZG93&#10;bnJldi54bWxQSwUGAAAAAAQABADzAAAAwwUAAAAA&#10;">
                      <v:stroke endarrow="block"/>
                    </v:line>
                  </w:pict>
                </mc:Fallback>
              </mc:AlternateContent>
            </w:r>
            <w:r w:rsidRPr="00CF22AE">
              <w:rPr>
                <w:rFonts w:ascii="Times New Roman" w:eastAsia="Times New Roman" w:hAnsi="Times New Roman" w:cs="Times New Roman"/>
                <w:sz w:val="21"/>
                <w:szCs w:val="21"/>
                <w:lang w:eastAsia="ru-RU"/>
              </w:rPr>
              <w:t>Сировина із стадії 3, вода очищена</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bottom w:val="single" w:sz="4" w:space="0" w:color="auto"/>
            </w:tcBorders>
            <w:shd w:val="clear" w:color="auto" w:fill="CCCCCC"/>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4 </w:t>
            </w:r>
            <w:r w:rsidRPr="00CF22AE">
              <w:rPr>
                <w:rFonts w:ascii="Times New Roman" w:eastAsia="Times New Roman" w:hAnsi="Times New Roman" w:cs="Times New Roman"/>
                <w:sz w:val="21"/>
                <w:szCs w:val="21"/>
                <w:lang w:eastAsia="ru-RU"/>
              </w:rPr>
              <w:t>Одержання водної витяжки</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Екстрактор</w:t>
            </w:r>
            <w:r w:rsidR="003E1E87">
              <w:rPr>
                <w:rFonts w:ascii="Times New Roman" w:eastAsia="Times New Roman" w:hAnsi="Times New Roman" w:cs="Times New Roman"/>
                <w:sz w:val="21"/>
                <w:szCs w:val="21"/>
                <w:lang w:eastAsia="ru-RU"/>
              </w:rPr>
              <w:t>, збірник</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92032" behindDoc="0" locked="0" layoutInCell="1" allowOverlap="1" wp14:anchorId="1391D160" wp14:editId="5C1A1375">
                      <wp:simplePos x="0" y="0"/>
                      <wp:positionH relativeFrom="column">
                        <wp:posOffset>-137795</wp:posOffset>
                      </wp:positionH>
                      <wp:positionV relativeFrom="paragraph">
                        <wp:posOffset>275590</wp:posOffset>
                      </wp:positionV>
                      <wp:extent cx="226695" cy="0"/>
                      <wp:effectExtent l="17145" t="59690" r="13335" b="54610"/>
                      <wp:wrapNone/>
                      <wp:docPr id="56" name="Пряма сполучна ліні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266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93CCC1" id="Пряма сполучна лінія 56" o:spid="_x0000_s1026" style="position:absolute;flip:x;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85pt,21.7pt" to="7pt,2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AWWYwIAAHcEAAAOAAAAZHJzL2Uyb0RvYy54bWysVM2O0zAQviPxDpbvbZrSljbadIWaFg4L&#10;rLTLA7ix01g4tmV7m1YICcSB4972yitwh4VXSN6Isfuzu3BBiB7csWfm8zczn3NyuqkEWjNjuZIp&#10;jrs9jJjMFeVyleI3l4vOGCPriKREKMlSvGUWn04fPzqpdcL6qlSCMoMARNqk1ikundNJFNm8ZBWx&#10;XaWZBGehTEUcbM0qoobUgF6JqN/rjaJaGaqNypm1cJrtnHga8IuC5e51UVjmkEgxcHNhNWFd+jWa&#10;npBkZYgueb6nQf6BRUW4hEuPUBlxBF0Z/gdUxXOjrCpcN1dVpIqC5yzUANXEvd+quSiJZqEWaI7V&#10;xzbZ/webv1qfG8RpiocjjCSpYEbNl/ZDe918b76i9mPzs/nRfGs/tZ+bWzgA86a5bW/aawQJ0L1a&#10;2wRAZvLc+PrzjbzQZyp/a5FUs5LIFQtVXG41IMc+I3qQ4jdWA4dl/VJRiCFXToVWbgpToUJw/cIn&#10;enBoF9qE2W2Ps2Mbh3I47PdHo8kQo/zgikjiEXyeNtY9Z6pC3kix4NJ3lSRkfWadZ3QX4o+lWnAh&#10;gjKERHWKJ8P+MCRYJTj1Th9mzWo5EwatiddW+IXywHM/zKgrSQNYyQid721HuAAbudAXZzh0SjDs&#10;b6sYxUgweE7e2tET0t8ItQLhvbWT17tJbzIfz8eDzqA/mncGvSzrPFvMBp3RIn46zJ5ks1kWv/fk&#10;40FSckqZ9PwPUo8Hfyel/aPbifQo9mOjoofooaNA9vAfSIex+0nvNLNUdHtufHVeAaDuELx/if75&#10;3N+HqLvvxfQXAAAA//8DAFBLAwQUAAYACAAAACEAuHN5Ct4AAAAIAQAADwAAAGRycy9kb3ducmV2&#10;LnhtbEyPwU7DMBBE70j8g7VI3FonJVAIcSqEQOKESlshcXPjJQmN18HeNoGvxxUHOI72afZNsRht&#10;Jw7oQ+tIQTpNQCBVzrRUK9isHyfXIAJrMrpzhAq+MMCiPD0pdG7cQC94WHEtYgmFXCtomPtcylA1&#10;aHWYuh4p3t6dt5pj9LU0Xg+x3HZyliRX0uqW4odG93jfYLVb7a2Cm/Vw6ZZ+95ql7efb98MH90/P&#10;rNT52Xh3C4Jx5D8YjvpRHcrotHV7MkF0CiazdB5RBdlFBuIIZHHb9jfLspD/B5Q/AAAA//8DAFBL&#10;AQItABQABgAIAAAAIQC2gziS/gAAAOEBAAATAAAAAAAAAAAAAAAAAAAAAABbQ29udGVudF9UeXBl&#10;c10ueG1sUEsBAi0AFAAGAAgAAAAhADj9If/WAAAAlAEAAAsAAAAAAAAAAAAAAAAALwEAAF9yZWxz&#10;Ly5yZWxzUEsBAi0AFAAGAAgAAAAhAPCsBZZjAgAAdwQAAA4AAAAAAAAAAAAAAAAALgIAAGRycy9l&#10;Mm9Eb2MueG1sUEsBAi0AFAAGAAgAAAAhALhzeQreAAAACAEAAA8AAAAAAAAAAAAAAAAAvQQAAGRy&#10;cy9kb3ducmV2LnhtbFBLBQYAAAAABAAEAPMAAADIBQAAAAA=&#10;">
                      <v:stroke endarrow="block"/>
                    </v:line>
                  </w:pict>
                </mc:Fallback>
              </mc:AlternateContent>
            </w:r>
          </w:p>
        </w:tc>
        <w:tc>
          <w:tcPr>
            <w:tcW w:w="3806" w:type="dxa"/>
            <w:tcBorders>
              <w:bottom w:val="single" w:sz="4" w:space="0" w:color="auto"/>
            </w:tcBorders>
            <w:shd w:val="clear" w:color="auto" w:fill="C0C0C0"/>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Час настоювання сировини, швидкість екстрагування, вміст  спирту, ідентифікація та кількісний вміст БАР, мікробіологічна чистота</w:t>
            </w:r>
          </w:p>
        </w:tc>
      </w:tr>
      <w:tr w:rsidR="00B314BF" w:rsidRPr="00CF22AE" w:rsidTr="00A570B1">
        <w:trPr>
          <w:trHeight w:val="173"/>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2576" behindDoc="0" locked="0" layoutInCell="1" allowOverlap="1" wp14:anchorId="6F69698F" wp14:editId="3A038F08">
                      <wp:simplePos x="0" y="0"/>
                      <wp:positionH relativeFrom="column">
                        <wp:posOffset>962454</wp:posOffset>
                      </wp:positionH>
                      <wp:positionV relativeFrom="paragraph">
                        <wp:posOffset>-6985</wp:posOffset>
                      </wp:positionV>
                      <wp:extent cx="0" cy="219075"/>
                      <wp:effectExtent l="76200" t="0" r="76200" b="47625"/>
                      <wp:wrapNone/>
                      <wp:docPr id="57" name="Пряма сполучна лінія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1C765E7" id="Пряма сполучна лінія 57" o:spid="_x0000_s1026" style="position:absolute;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8pt,-.55pt" to="75.8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HSjYQIAAHcEAAAOAAAAZHJzL2Uyb0RvYy54bWysVMFuEzEQvSPxD5bvye6GpG1W3VQom8Ch&#10;QKWWD3DW3qyF17ZsJ5sIIYE4cOytV36BOxR+YfePGDtpSuGCEDk44/HMmzfj5z0929QCrZmxXMkM&#10;J/0YIyYLRblcZvj11bx3gpF1RFIilGQZ3jKLzyaPH502OmUDVSlBmUEAIm3a6AxXzuk0imxRsZrY&#10;vtJMwmGpTE0cbM0yooY0gF6LaBDHR1GjDNVGFcxa8Oa7QzwJ+GXJCveqLC1zSGQYuLmwmrAu/BpN&#10;Tkm6NERXvNjTIP/AoiZcQtEDVE4cQSvD/4CqeWGUVaXrF6qOVFnygoUeoJsk/q2by4poFnqB4Vh9&#10;GJP9f7DFy/WFQZxmeHSMkSQ13FH7uXvfXbff2i+o+9D+aL+3X7uP3af2Fhxg3rS33U13jSABptdo&#10;mwLIVF4Y33+xkZf6XBVvLJJqWhG5ZKGLq60G5MRnRA9S/MZq4LBoXigKMWTlVBjlpjQ1KgXXz32i&#10;B4dxoU24u+3h7tjGoWLnLMA7SMbx8SiUIalH8HnaWPeMqRp5I8OCSz9VkpL1uXWe0X2Id0s150IE&#10;ZQiJmgyPR4NRSLBKcOoPfZg1y8VUGLQmXlvht6/7IMyolaQBrGKEzva2I1yAjVyYizMcJiUY9tVq&#10;RjESDJ6Tt3b0hPQVoVcgvLd28no7jsezk9nJsDccHM16wzjPe0/n02HvaJ4cj/In+XSaJ+88+WSY&#10;VpxSJj3/O6knw7+T0v7R7UR6EPthUNFD9DBRIHv3H0iHa/c3vdPMQtHthfHdeQWAukPw/iX65/Pr&#10;PkTdfy8mPwEAAP//AwBQSwMEFAAGAAgAAAAhAEyzxnTeAAAACQEAAA8AAABkcnMvZG93bnJldi54&#10;bWxMj01PwzAMhu9I/IfISNy2NOxDUOpOCIHECcGGkLhljWnLGqck2Vr49WRc4Pjaj14/Llaj7cSB&#10;fGgdI6hpBoK4cqblGuFlcz+5BBGiZqM7x4TwRQFW5elJoXPjBn6mwzrWIpVwyDVCE2OfSxmqhqwO&#10;U9cTp92781bHFH0tjddDKredvMiypbS65XSh0T3dNlTt1nuLcLUZFu7J717nqv18+777iP3DY0Q8&#10;PxtvrkFEGuMfDEf9pA5lctq6PZsgupQXaplQhIlSII7A72CLMJvNQZaF/P9B+QMAAP//AwBQSwEC&#10;LQAUAAYACAAAACEAtoM4kv4AAADhAQAAEwAAAAAAAAAAAAAAAAAAAAAAW0NvbnRlbnRfVHlwZXNd&#10;LnhtbFBLAQItABQABgAIAAAAIQA4/SH/1gAAAJQBAAALAAAAAAAAAAAAAAAAAC8BAABfcmVscy8u&#10;cmVsc1BLAQItABQABgAIAAAAIQBjcHSjYQIAAHcEAAAOAAAAAAAAAAAAAAAAAC4CAABkcnMvZTJv&#10;RG9jLnhtbFBLAQItABQABgAIAAAAIQBMs8Z03gAAAAkBAAAPAAAAAAAAAAAAAAAAALsEAABkcnMv&#10;ZG93bnJldi54bWxQSwUGAAAAAAQABADzAAAAxgUAAAAA&#10;">
                      <v:stroke endarrow="block"/>
                    </v:line>
                  </w:pict>
                </mc:Fallback>
              </mc:AlternateContent>
            </w: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60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Витяжки із стадії 3 та 4</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8480" behindDoc="0" locked="0" layoutInCell="1" allowOverlap="1" wp14:anchorId="3592F7F4" wp14:editId="623F2182">
                      <wp:simplePos x="0" y="0"/>
                      <wp:positionH relativeFrom="column">
                        <wp:posOffset>-55245</wp:posOffset>
                      </wp:positionH>
                      <wp:positionV relativeFrom="paragraph">
                        <wp:posOffset>248285</wp:posOffset>
                      </wp:positionV>
                      <wp:extent cx="163195" cy="0"/>
                      <wp:effectExtent l="11430" t="57785" r="15875" b="56515"/>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319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9BB0114" id="Пряма сполучна лінія 58"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pt,19.55pt" to="8.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sSjXAIAAG0EAAAOAAAAZHJzL2Uyb0RvYy54bWysVM1uEzEQviPxDpbv6WbTJDSrbCqUTbgU&#10;qNTyAI7tzVp47ZXtZBMhJFAPHHvrlVfgDoVX2H0jxs4PLVwQIgdn7Jn5/M034x2fb0qJ1txYoVWK&#10;45MuRlxRzYRapvjN9bxzhpF1RDEiteIp3nKLzydPn4zrKuE9XWjJuEEAomxSVykunKuSKLK04CWx&#10;J7riCpy5NiVxsDXLiBlSA3opo163O4xqbVhlNOXWwmm2c+JJwM9zTt3rPLfcIZli4ObCasK68Gs0&#10;GZNkaUhVCLqnQf6BRUmEgkuPUBlxBK2M+AOqFNRoq3N3QnUZ6TwXlIcaoJq4+1s1VwWpeKgFxLHV&#10;USb7/2Dpq/WlQYKleACdUqSEHjWf2w/tbfOt+YLaj82P5nvztb1pPzX3cADmXXPf3rW3CBJAvbqy&#10;CYBM1aXx9dONuqouNH1rkdLTgqglD1VcbytAjn1G9CjFb2wFHBb1S80ghqycDlJuclN6SBAJbULH&#10;tseO8Y1DFA7j4Wk8GmBED66IJIe8ylj3gusSeSPFUiivJUnI+sI6z4MkhxB/rPRcSBnmQSpUp3g0&#10;6A1CgtVSMO/0YdYsF1Np0Jr4iQq/UBR4HoYZvVIsgBWcsNnedkRIsJELajgjQB/Jsb+t5AwjyeER&#10;eWtHTyp/I9QKhPfWbqjejbqj2dnsrN/p94azTr+bZZ3n82m/M5zHzwbZaTadZvF7Tz7uJ4VgjCvP&#10;/zDgcf/vBmj/1HajeRzxo1DRY/SgKJA9/AfSodm+v7tJWWi2vTS+Ot93mOkQvH9//tE83IeoX1+J&#10;yU8AAAD//wMAUEsDBBQABgAIAAAAIQDfaehC3QAAAAcBAAAPAAAAZHJzL2Rvd25yZXYueG1sTI9B&#10;S8NAFITvgv9heYK3dhMFG2M2RYR6aVXaSqm3bfaZBLNvw+6mjf/eVzzocZhh5ptiPtpOHNGH1pGC&#10;dJqAQKqcaalW8L5dTDIQIWoyunOECr4xwLy8vCh0btyJ1njcxFpwCYVcK2hi7HMpQ9Wg1WHqeiT2&#10;Pp23OrL0tTRen7jcdvImSe6k1S3xQqN7fGqw+toMVsF6tVhmu+UwVv7jOX3dvq1e9iFT6vpqfHwA&#10;EXGMf2E44zM6lMx0cAOZIDoFk2zGSQW39ymIsz/ja4dfLctC/ucvfwAAAP//AwBQSwECLQAUAAYA&#10;CAAAACEAtoM4kv4AAADhAQAAEwAAAAAAAAAAAAAAAAAAAAAAW0NvbnRlbnRfVHlwZXNdLnhtbFBL&#10;AQItABQABgAIAAAAIQA4/SH/1gAAAJQBAAALAAAAAAAAAAAAAAAAAC8BAABfcmVscy8ucmVsc1BL&#10;AQItABQABgAIAAAAIQBH9sSjXAIAAG0EAAAOAAAAAAAAAAAAAAAAAC4CAABkcnMvZTJvRG9jLnht&#10;bFBLAQItABQABgAIAAAAIQDfaehC3QAAAAcBAAAPAAAAAAAAAAAAAAAAALYEAABkcnMvZG93bnJl&#10;di54bWxQSwUGAAAAAAQABADzAAAAwAUAAAAA&#10;">
                      <v:stroke endarrow="block"/>
                    </v:line>
                  </w:pict>
                </mc:Fallback>
              </mc:AlternateContent>
            </w:r>
          </w:p>
        </w:tc>
        <w:tc>
          <w:tcPr>
            <w:tcW w:w="3449" w:type="dxa"/>
            <w:gridSpan w:val="2"/>
            <w:tcBorders>
              <w:bottom w:val="single" w:sz="4" w:space="0" w:color="auto"/>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5 </w:t>
            </w:r>
            <w:r w:rsidRPr="00CF22AE">
              <w:rPr>
                <w:rFonts w:ascii="Times New Roman" w:eastAsia="Times New Roman" w:hAnsi="Times New Roman" w:cs="Times New Roman"/>
                <w:sz w:val="21"/>
                <w:szCs w:val="21"/>
                <w:lang w:eastAsia="ru-RU"/>
              </w:rPr>
              <w:t xml:space="preserve">Очищення </w:t>
            </w:r>
            <w:r w:rsidR="006A0E40">
              <w:rPr>
                <w:rFonts w:ascii="Times New Roman" w:eastAsia="Times New Roman" w:hAnsi="Times New Roman" w:cs="Times New Roman"/>
                <w:sz w:val="21"/>
                <w:szCs w:val="21"/>
                <w:lang w:eastAsia="ru-RU"/>
              </w:rPr>
              <w:t>витяжо</w:t>
            </w:r>
            <w:r w:rsidR="008A4D93">
              <w:rPr>
                <w:rFonts w:ascii="Times New Roman" w:eastAsia="Times New Roman" w:hAnsi="Times New Roman" w:cs="Times New Roman"/>
                <w:sz w:val="21"/>
                <w:szCs w:val="21"/>
                <w:lang w:eastAsia="ru-RU"/>
              </w:rPr>
              <w:t>к</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3600" behindDoc="0" locked="0" layoutInCell="1" allowOverlap="1" wp14:anchorId="2AF55836" wp14:editId="2145DD3F">
                      <wp:simplePos x="0" y="0"/>
                      <wp:positionH relativeFrom="column">
                        <wp:posOffset>963930</wp:posOffset>
                      </wp:positionH>
                      <wp:positionV relativeFrom="paragraph">
                        <wp:posOffset>107950</wp:posOffset>
                      </wp:positionV>
                      <wp:extent cx="0" cy="219075"/>
                      <wp:effectExtent l="76200" t="0" r="76200" b="47625"/>
                      <wp:wrapNone/>
                      <wp:docPr id="59" name="Пряма сполучна лінія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79FDF0" id="Пряма сполучна лінія 59" o:spid="_x0000_s1026" style="position:absolute;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9pt,8.5pt" to="75.9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k1bYQIAAHcEAAAOAAAAZHJzL2Uyb0RvYy54bWysVMFuEzEQvSPxD5bvye6GpG1W3VQom8Ch&#10;QKWWD3DW3qyF17ZsJ5sIIYE4cOytV36BOxR+YfePGDtpSuGCEDk44/HMmzfj5z0929QCrZmxXMkM&#10;J/0YIyYLRblcZvj11bx3gpF1RFIilGQZ3jKLzyaPH502OmUDVSlBmUEAIm3a6AxXzuk0imxRsZrY&#10;vtJMwmGpTE0cbM0yooY0gF6LaBDHR1GjDNVGFcxa8Oa7QzwJ+GXJCveqLC1zSGQYuLmwmrAu/BpN&#10;Tkm6NERXvNjTIP/AoiZcQtEDVE4cQSvD/4CqeWGUVaXrF6qOVFnygoUeoJsk/q2by4poFnqB4Vh9&#10;GJP9f7DFy/WFQZxmeDTGSJIa7qj93L3vrttv7RfUfWh/tN/br93H7lN7Cw4wb9rb7qa7RpAA02u0&#10;TQFkKi+M77/YyEt9roo3Fkk1rYhcstDF1VYDcuIzogcpfmM1cFg0LxSFGLJyKoxyU5oalYLr5z7R&#10;g8O40Cbc3fZwd2zjULFzFuAdJOP4eBTKkNQj+DxtrHvGVI28kWHBpZ8qScn63DrP6D7Eu6WacyGC&#10;MoRETYbHo8EoJFglOPWHPsya5WIqDFoTr63w29d9EGbUStIAVjFCZ3vbES7ARi7MxRkOkxIM+2o1&#10;oxgJBs/JWzt6QvqK0CsQ3ls7eb0dx+PZyexk2BsOjma9YZznvafz6bB3NE+OR/mTfDrNk3eefDJM&#10;K04pk57/ndST4d9Jaf/odiI9iP0wqOghepgokL37D6TDtfub3mlmoej2wvjuvAJA3SF4/xL98/l1&#10;H6LuvxeTnwAAAP//AwBQSwMEFAAGAAgAAAAhAOvBHe/eAAAACQEAAA8AAABkcnMvZG93bnJldi54&#10;bWxMj81Ow0AMhO9IvMPKSNzoJojwE7KpEAKJE4IWVeptm5gkNOsNu24TeHpcLnDz2KPxN8V8cr3a&#10;Y4idJwPpLAGFVPm6o8bA2/Lx7BpUZEu17T2hgS+MMC+Pjwqb136kV9wvuFESQjG3BlrmIdc6Vi06&#10;G2d+QJLbuw/OssjQ6DrYUcJdr8+T5FI725F8aO2A9y1W28XOGbhZjpl/CdvVRdp9rr8fPnh4emZj&#10;Tk+mu1tQjBP/meGAL+hQCtPG76iOqhedpYLOMlxJp4Phd7ExkKUZ6LLQ/xuUPwAAAP//AwBQSwEC&#10;LQAUAAYACAAAACEAtoM4kv4AAADhAQAAEwAAAAAAAAAAAAAAAAAAAAAAW0NvbnRlbnRfVHlwZXNd&#10;LnhtbFBLAQItABQABgAIAAAAIQA4/SH/1gAAAJQBAAALAAAAAAAAAAAAAAAAAC8BAABfcmVscy8u&#10;cmVsc1BLAQItABQABgAIAAAAIQCCnk1bYQIAAHcEAAAOAAAAAAAAAAAAAAAAAC4CAABkcnMvZTJv&#10;RG9jLnhtbFBLAQItABQABgAIAAAAIQDrwR3v3gAAAAkBAAAPAAAAAAAAAAAAAAAAALsEAABkcnMv&#10;ZG93bnJldi54bWxQSwUGAAAAAAQABADzAAAAxgUAAAAA&#10;">
                      <v:stroke endarrow="block"/>
                    </v:line>
                  </w:pict>
                </mc:Fallback>
              </mc:AlternateContent>
            </w:r>
            <w:r w:rsidR="006A0E40">
              <w:rPr>
                <w:rFonts w:ascii="Times New Roman" w:eastAsia="Times New Roman" w:hAnsi="Times New Roman" w:cs="Times New Roman"/>
                <w:sz w:val="21"/>
                <w:szCs w:val="21"/>
                <w:lang w:eastAsia="ru-RU"/>
              </w:rPr>
              <w:t>Прес-</w:t>
            </w:r>
            <w:r w:rsidRPr="00CF22AE">
              <w:rPr>
                <w:rFonts w:ascii="Times New Roman" w:eastAsia="Times New Roman" w:hAnsi="Times New Roman" w:cs="Times New Roman"/>
                <w:sz w:val="21"/>
                <w:szCs w:val="21"/>
                <w:lang w:eastAsia="ru-RU"/>
              </w:rPr>
              <w:t>фільтр, збірник</w:t>
            </w:r>
          </w:p>
        </w:tc>
        <w:tc>
          <w:tcPr>
            <w:tcW w:w="236" w:type="dxa"/>
            <w:tcBorders>
              <w:top w:val="nil"/>
              <w:bottom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3360" behindDoc="0" locked="0" layoutInCell="1" allowOverlap="1" wp14:anchorId="10457442" wp14:editId="5389CE8F">
                      <wp:simplePos x="0" y="0"/>
                      <wp:positionH relativeFrom="column">
                        <wp:posOffset>-68476</wp:posOffset>
                      </wp:positionH>
                      <wp:positionV relativeFrom="paragraph">
                        <wp:posOffset>251632</wp:posOffset>
                      </wp:positionV>
                      <wp:extent cx="154355" cy="0"/>
                      <wp:effectExtent l="38100" t="76200" r="0" b="95250"/>
                      <wp:wrapNone/>
                      <wp:docPr id="60" name="Пряма сполучна лінія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43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4909B0" id="Пряма сполучна лінія 60" o:spid="_x0000_s1026" style="position:absolute;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9.8pt" to="6.75pt,1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5KyYgIAAHcEAAAOAAAAZHJzL2Uyb0RvYy54bWysVMFuEzEQvSPxD5bv6WbTTUhX3VQom8Ch&#10;QKWWD3DW3qyF17ZsN5sIIVFx4Nhbr/wCdyj8wu4fMXbStIULQuTgjD0zz2/ejPf4ZF0LtGLGciUz&#10;HB/0MWKyUJTLZYbfXsx7Y4ysI5ISoSTL8IZZfDJ5+uS40SkbqEoJygwCEGnTRme4ck6nUWSLitXE&#10;HijNJDhLZWriYGuWETWkAfRaRIN+fxQ1ylBtVMGshdN868STgF+WrHBvytIyh0SGgZsLqwnrwq/R&#10;5JikS0N0xYsdDfIPLGrCJVy6h8qJI+jS8D+gal4YZVXpDgpVR6osecFCDVBN3P+tmvOKaBZqAXGs&#10;3stk/x9s8Xp1ZhCnGR6BPJLU0KP2S/exu26/t19Rd9X+bH+037pP3ef2Fg7AvGlvu5vuGkECqNdo&#10;mwLIVJ4ZX3+xluf6VBXvLJJqWhG5ZKGKi40G5NhnRI9S/MZq4LBoXikKMeTSqSDlujQ1KgXXL32i&#10;Bwe50Dr0brPvHVs7VMBhPEwOh0OMijtXRFKP4PO0se4FUzXyRoYFl15VkpLVqXWe0X2IP5ZqzoUI&#10;kyEkajJ8NBwMQ4JVglPv9GHWLBdTYdCK+NkKv1AeeB6GGXUpaQCrGKGzne0IF2AjF3RxhoNSgmF/&#10;W80oRoLBc/LWlp6Q/kaoFQjvrO14vT/qH83Gs3HSSwajWS/p53nv+Xya9Ebz+NkwP8yn0zz+4MnH&#10;SVpxSpn0/O9GPU7+bpR2j247pPth3wsVPUYPigLZu/9AOrTdd3o7MwtFN2fGV+cnAKY7BO9eon8+&#10;D/ch6v57MfkFAAD//wMAUEsDBBQABgAIAAAAIQB/s1H03gAAAAgBAAAPAAAAZHJzL2Rvd25yZXYu&#10;eG1sTI9BS8NAFITvgv9heYK3dhNri43ZFBEFT6JtEbxts69J2uzbuPvaRH+9WzzY4zDDzDf5YrCt&#10;OKIPjSMF6TgBgVQ601ClYL16Ht2BCKzJ6NYRKvjGAIvi8iLXmXE9veNxyZWIJRQyraBm7jIpQ1mj&#10;1WHsOqTobZ23mqP0lTRe97HctvImSWbS6obiQq07fKyx3C8PVsF81U/dm99/3KbN1+fP0467l1dW&#10;6vpqeLgHwTjwfxhO+BEdisi0cQcyQbQKRmkS0VnBZD4DcQpMpiA2f1oWuTw/UPwCAAD//wMAUEsB&#10;Ai0AFAAGAAgAAAAhALaDOJL+AAAA4QEAABMAAAAAAAAAAAAAAAAAAAAAAFtDb250ZW50X1R5cGVz&#10;XS54bWxQSwECLQAUAAYACAAAACEAOP0h/9YAAACUAQAACwAAAAAAAAAAAAAAAAAvAQAAX3JlbHMv&#10;LnJlbHNQSwECLQAUAAYACAAAACEA32OSsmICAAB3BAAADgAAAAAAAAAAAAAAAAAuAgAAZHJzL2Uy&#10;b0RvYy54bWxQSwECLQAUAAYACAAAACEAf7NR9N4AAAAIAQAADwAAAAAAAAAAAAAAAAC8BAAAZHJz&#10;L2Rvd25yZXYueG1sUEsFBgAAAAAEAAQA8wAAAMcFAAAAAA==&#10;">
                      <v:stroke endarrow="block"/>
                    </v:line>
                  </w:pict>
                </mc:Fallback>
              </mc:AlternateContent>
            </w:r>
          </w:p>
        </w:tc>
        <w:tc>
          <w:tcPr>
            <w:tcW w:w="3806" w:type="dxa"/>
            <w:tcBorders>
              <w:bottom w:val="single" w:sz="4" w:space="0" w:color="auto"/>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Наявність механічних домішок</w:t>
            </w:r>
            <w:r w:rsidR="006A0E40">
              <w:rPr>
                <w:rFonts w:ascii="Times New Roman" w:eastAsia="Times New Roman" w:hAnsi="Times New Roman" w:cs="Times New Roman"/>
                <w:sz w:val="21"/>
                <w:szCs w:val="21"/>
                <w:lang w:eastAsia="ru-RU"/>
              </w:rPr>
              <w:t>, прозоріст</w:t>
            </w:r>
            <w:r w:rsidR="008A4D93">
              <w:rPr>
                <w:rFonts w:ascii="Times New Roman" w:eastAsia="Times New Roman" w:hAnsi="Times New Roman" w:cs="Times New Roman"/>
                <w:sz w:val="21"/>
                <w:szCs w:val="21"/>
                <w:lang w:eastAsia="ru-RU"/>
              </w:rPr>
              <w:t>ь</w:t>
            </w:r>
            <w:r w:rsidR="006A0E40">
              <w:rPr>
                <w:rFonts w:ascii="Times New Roman" w:eastAsia="Times New Roman" w:hAnsi="Times New Roman" w:cs="Times New Roman"/>
                <w:sz w:val="21"/>
                <w:szCs w:val="21"/>
                <w:lang w:eastAsia="ru-RU"/>
              </w:rPr>
              <w:t>, су</w:t>
            </w:r>
            <w:r w:rsidR="008A4D93">
              <w:rPr>
                <w:rFonts w:ascii="Times New Roman" w:eastAsia="Times New Roman" w:hAnsi="Times New Roman" w:cs="Times New Roman"/>
                <w:sz w:val="21"/>
                <w:szCs w:val="21"/>
                <w:lang w:eastAsia="ru-RU"/>
              </w:rPr>
              <w:t>х</w:t>
            </w:r>
            <w:r w:rsidR="006A0E40">
              <w:rPr>
                <w:rFonts w:ascii="Times New Roman" w:eastAsia="Times New Roman" w:hAnsi="Times New Roman" w:cs="Times New Roman"/>
                <w:sz w:val="21"/>
                <w:szCs w:val="21"/>
                <w:lang w:eastAsia="ru-RU"/>
              </w:rPr>
              <w:t>ий залишок,РРО</w:t>
            </w:r>
          </w:p>
        </w:tc>
      </w:tr>
      <w:tr w:rsidR="00B314BF" w:rsidRPr="00CF22AE" w:rsidTr="00A570B1">
        <w:trPr>
          <w:trHeight w:val="239"/>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555"/>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Витяжка із стадії 5</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5408" behindDoc="0" locked="0" layoutInCell="1" allowOverlap="1" wp14:anchorId="68C621D5" wp14:editId="140CD913">
                      <wp:simplePos x="0" y="0"/>
                      <wp:positionH relativeFrom="column">
                        <wp:posOffset>-68580</wp:posOffset>
                      </wp:positionH>
                      <wp:positionV relativeFrom="paragraph">
                        <wp:posOffset>434340</wp:posOffset>
                      </wp:positionV>
                      <wp:extent cx="140335" cy="0"/>
                      <wp:effectExtent l="7620" t="53340" r="23495" b="60960"/>
                      <wp:wrapNone/>
                      <wp:docPr id="61" name="Пряма сполучна лінія 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03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D38AB7" id="Пряма сполучна лінія 61"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34.2pt" to="5.65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Tb/WwIAAG0EAAAOAAAAZHJzL2Uyb0RvYy54bWysVM2O0zAQviPxDpbv3STdtOxGm65Q03JZ&#10;YKVdHsCNncbCsS3b27RCSCAOHPe2V16BOyy8QvJGjN0fWLggRA/u2J75/M03Mzk7XzcCrZixXMkc&#10;J0cxRkyWinK5zPGr6/ngBCPriKREKMlyvGEWn08ePzprdcaGqlaCMoMARNqs1TmundNZFNmyZg2x&#10;R0ozCZeVMg1xsDXLiBrSAnojomEcj6NWGaqNKpm1cFpsL/Ek4FcVK93LqrLMIZFj4ObCasK68Gs0&#10;OSPZ0hBd83JHg/wDi4ZwCY8eoAriCLox/A+ohpdGWVW5o1I1kaoqXrKQA2STxL9lc1UTzUIuII7V&#10;B5ns/4MtX6wuDeI0x+MEI0kaqFH3qX/X33Zfu8+of9997751X/oP/cfuHg7AvOvu+7v+FkEAqNdq&#10;mwHIVF4an3+5llf6QpWvLZJqWhO5ZCGL640G5BARPQjxG6uBw6J9rij4kBungpTryjQeEkRC61Cx&#10;zaFibO1QCYdJGh8fjzAq91cRyfZx2lj3jKkGeSPHgkuvJcnI6sI6YA6uexd/LNWcCxH6QUjU5vh0&#10;NByFAKsEp/7Su1mzXEyFQSviOyr8vAwA9sDNqBtJA1jNCJ3tbEe4ABu5oIYzHPQRDPvXGkYxEgyG&#10;yFtbRCH9i5ArEN5Z26Z6cxqfzk5mJ+kgHY5ngzQuisHT+TQdjOfJk1FxXEynRfLWk0/SrOaUMun5&#10;7xs8Sf+ugXajtm3NQ4sfhIoeogcRgOz+P5AOxfb13XbKQtHNpfHZ+bpDTwfn3fz5ofl1H7x+fiUm&#10;PwAAAP//AwBQSwMEFAAGAAgAAAAhADtT8FreAAAACAEAAA8AAABkcnMvZG93bnJldi54bWxMj0FL&#10;w0AUhO+C/2F5grd2E5US0rwUEeqlVWkrUm/b7DMJZt+G3U0b/71betDjMMPMN8ViNJ04kvOtZYR0&#10;moAgrqxuuUZ43y0nGQgfFGvVWSaEH/KwKK+vCpVre+INHbehFrGEfa4QmhD6XEpfNWSUn9qeOHpf&#10;1hkVonS11E6dYrnp5F2SzKRRLceFRvX01FD1vR0Mwma9XGUfq2Gs3Odz+rp7W7/sfYZ4ezM+zkEE&#10;GsNfGM74ER3KyHSwA2svOoRJmkT0gDDLHkCcA+k9iMNFy7KQ/w+UvwAAAP//AwBQSwECLQAUAAYA&#10;CAAAACEAtoM4kv4AAADhAQAAEwAAAAAAAAAAAAAAAAAAAAAAW0NvbnRlbnRfVHlwZXNdLnhtbFBL&#10;AQItABQABgAIAAAAIQA4/SH/1gAAAJQBAAALAAAAAAAAAAAAAAAAAC8BAABfcmVscy8ucmVsc1BL&#10;AQItABQABgAIAAAAIQA9uTb/WwIAAG0EAAAOAAAAAAAAAAAAAAAAAC4CAABkcnMvZTJvRG9jLnht&#10;bFBLAQItABQABgAIAAAAIQA7U/Ba3gAAAAgBAAAPAAAAAAAAAAAAAAAAALUEAABkcnMvZG93bnJl&#10;di54bWxQSwUGAAAAAAQABADzAAAAwAUAAAAA&#10;">
                      <v:stroke endarrow="block"/>
                    </v:line>
                  </w:pict>
                </mc:Fallback>
              </mc:AlternateContent>
            </w:r>
          </w:p>
        </w:tc>
        <w:tc>
          <w:tcPr>
            <w:tcW w:w="3449" w:type="dxa"/>
            <w:gridSpan w:val="2"/>
            <w:tcBorders>
              <w:bottom w:val="single" w:sz="4" w:space="0" w:color="auto"/>
            </w:tcBorders>
            <w:shd w:val="clear" w:color="auto" w:fill="BFBFBF" w:themeFill="background1" w:themeFillShade="BF"/>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6 </w:t>
            </w:r>
            <w:r w:rsidRPr="00CF22AE">
              <w:rPr>
                <w:rFonts w:ascii="Times New Roman" w:eastAsia="Times New Roman" w:hAnsi="Times New Roman" w:cs="Times New Roman"/>
                <w:sz w:val="21"/>
                <w:szCs w:val="21"/>
                <w:lang w:eastAsia="ru-RU"/>
              </w:rPr>
              <w:t>Згущування</w:t>
            </w:r>
            <w:r w:rsidR="006A0E40">
              <w:rPr>
                <w:rFonts w:ascii="Times New Roman" w:eastAsia="Times New Roman" w:hAnsi="Times New Roman" w:cs="Times New Roman"/>
                <w:sz w:val="21"/>
                <w:szCs w:val="21"/>
                <w:lang w:eastAsia="ru-RU"/>
              </w:rPr>
              <w:t xml:space="preserve"> витяжки</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8720" behindDoc="0" locked="0" layoutInCell="1" allowOverlap="1" wp14:anchorId="4BF06892" wp14:editId="60E88B7E">
                      <wp:simplePos x="0" y="0"/>
                      <wp:positionH relativeFrom="column">
                        <wp:posOffset>969010</wp:posOffset>
                      </wp:positionH>
                      <wp:positionV relativeFrom="paragraph">
                        <wp:posOffset>440055</wp:posOffset>
                      </wp:positionV>
                      <wp:extent cx="0" cy="219075"/>
                      <wp:effectExtent l="76200" t="0" r="76200" b="47625"/>
                      <wp:wrapNone/>
                      <wp:docPr id="62"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8880AD" id="Пряма сполучна лінія 34"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3pt,34.65pt" to="76.3pt,5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5vRYQIAAHcEAAAOAAAAZHJzL2Uyb0RvYy54bWysVMFuEzEQvSPxD5bvye6mm7RZdVOhbAKH&#10;ApVaPsCxvVkLr23ZTjYRQqLiwLG3XvkF7lD4hd0/wnbSlMIFIXJwxuOZN2/Gz3t6tqk5WFNtmBQ5&#10;TPoxBFRgSZhY5vDN1bx3AoGxSBDEpaA53FIDzyZPn5w2KqMDWUlOqAYORJisUTmsrFVZFBlc0RqZ&#10;vlRUuMNS6hpZt9XLiGjUOPSaR4M4HkWN1ERpiakxzlvsDuEk4JclxfZ1WRpqAc+h42bDqsO68Gs0&#10;OUXZUiNVMbyngf6BRY2YcEUPUAWyCKw0+wOqZlhLI0vbx7KOZFkyTEMPrpsk/q2bywopGnpxwzHq&#10;MCbz/2Dxq/WFBozkcDSAQKDa3VH7ufvQ3bTf2i+gu25/tN/br93H7lN75xzOvG3vutvuBhylfnqN&#10;MpkDmYoL7fvHG3GpziV+a4CQ0wqJJQ1dXG2VQ058RvQoxW+MchwWzUtJXAxaWRlGuSl1DUrO1Auf&#10;6MHduMAm3N32cHd0YwHeObHzDpJxfDwMZVDmEXye0sY+p7IG3sghZ8JPFWVofW6sZ/QQ4t1Czhnn&#10;QRlcgCaH4+FgGBKM5Iz4Qx9m9HIx5RqskddW+O3rPgrTciVIAKsoIrO9bRHjzgY2zMVq5ibFKfTV&#10;akog4NQ9J2/t6HHhK7peHeG9tZPXu3E8np3MTtJeOhjNemlcFL1n82naG82T42FxVEynRfLek0/S&#10;rGKEUOH530s9Sf9OSvtHtxPpQeyHQUWP0cNEHdn7/0A6XLu/6Z1mFpJsL7TvzivAqTsE71+ifz6/&#10;7kPUw/di8hMAAP//AwBQSwMEFAAGAAgAAAAhAKk4vmvgAAAACgEAAA8AAABkcnMvZG93bnJldi54&#10;bWxMj0FPwzAMhe9I/IfISNxYuo1VW2k6IQQSJ8Q2NGm3rDFtWeOUJFsLvx6PC9z87Kfn7+XLwbbi&#10;hD40jhSMRwkIpNKZhioFb5unmzmIEDUZ3TpCBV8YYFlcXuQ6M66nFZ7WsRIcQiHTCuoYu0zKUNZo&#10;dRi5Dolv785bHVn6Shqvew63rZwkSSqtbog/1LrDhxrLw/poFSw2/cy9+sP2dtx87r4fP2L3/BKV&#10;ur4a7u9ARBzinxnO+IwOBTPt3ZFMEC3r2SRlq4J0MQVxNvwu9jwk0znIIpf/KxQ/AAAA//8DAFBL&#10;AQItABQABgAIAAAAIQC2gziS/gAAAOEBAAATAAAAAAAAAAAAAAAAAAAAAABbQ29udGVudF9UeXBl&#10;c10ueG1sUEsBAi0AFAAGAAgAAAAhADj9If/WAAAAlAEAAAsAAAAAAAAAAAAAAAAALwEAAF9yZWxz&#10;Ly5yZWxzUEsBAi0AFAAGAAgAAAAhAEaTm9FhAgAAdwQAAA4AAAAAAAAAAAAAAAAALgIAAGRycy9l&#10;Mm9Eb2MueG1sUEsBAi0AFAAGAAgAAAAhAKk4vmvgAAAACgEAAA8AAAAAAAAAAAAAAAAAuwQAAGRy&#10;cy9kb3ducmV2LnhtbFBLBQYAAAAABAAEAPMAAADIBQAAAAA=&#10;">
                      <v:stroke endarrow="block"/>
                    </v:line>
                  </w:pict>
                </mc:Fallback>
              </mc:AlternateContent>
            </w:r>
            <w:r w:rsidRPr="00CF22AE">
              <w:rPr>
                <w:rFonts w:ascii="Times New Roman" w:eastAsia="Times New Roman" w:hAnsi="Times New Roman" w:cs="Times New Roman"/>
                <w:sz w:val="21"/>
                <w:szCs w:val="21"/>
                <w:lang w:eastAsia="ru-RU"/>
              </w:rPr>
              <w:t>Роторний випарювач</w:t>
            </w:r>
          </w:p>
        </w:tc>
        <w:tc>
          <w:tcPr>
            <w:tcW w:w="236" w:type="dxa"/>
            <w:tcBorders>
              <w:top w:val="nil"/>
              <w:bottom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4384" behindDoc="0" locked="0" layoutInCell="1" allowOverlap="1" wp14:anchorId="543C5489" wp14:editId="2983FDF6">
                      <wp:simplePos x="0" y="0"/>
                      <wp:positionH relativeFrom="column">
                        <wp:posOffset>-68580</wp:posOffset>
                      </wp:positionH>
                      <wp:positionV relativeFrom="paragraph">
                        <wp:posOffset>434340</wp:posOffset>
                      </wp:positionV>
                      <wp:extent cx="179070" cy="0"/>
                      <wp:effectExtent l="17145" t="53340" r="13335" b="60960"/>
                      <wp:wrapNone/>
                      <wp:docPr id="63" name="Пряма сполучна лінія 6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18996D5" id="Пряма сполучна лінія 63" o:spid="_x0000_s1026" style="position:absolute;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34.2pt" to="8.7pt,3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WGYYwIAAHcEAAAOAAAAZHJzL2Uyb0RvYy54bWysVMFuEzEQvSPxD5bv6e6maZqsuqlQNoFD&#10;gUotH+CsvVkLr23ZbjYRQgJx4Nhbr/wCdyj8wu4fMXbStIULQuTgjD0zz29mnvfkdF0LtGLGciUz&#10;nBzEGDFZKMrlMsNvLue9EUbWEUmJUJJleMMsPp08fXLS6JT1VaUEZQYBiLRpozNcOafTKLJFxWpi&#10;D5RmEpylMjVxsDXLiBrSAHoton4cD6NGGaqNKpi1cJpvnXgS8MuSFe51WVrmkMgwcHNhNWFd+DWa&#10;nJB0aYiueLGjQf6BRU24hEv3UDlxBF0Z/gdUzQujrCrdQaHqSJUlL1ioAapJ4t+quaiIZqEWaI7V&#10;+zbZ/wdbvFqdG8RphoeHGElSw4zaL92H7rr93n5F3cf2Z/uj/dZ96j63t3AA5k1729101wgSoHuN&#10;timATOW58fUXa3mhz1Tx1iKpphWRSxaquNxoQE58RvQoxW+sBg6L5qWiEEOunAqtXJemRqXg+oVP&#10;9ODQLrQOs9vsZ8fWDhVwmByP42OYcHHnikjqEXyeNtY9Z6pG3siw4NJ3laRkdWadZ3Qf4o+lmnMh&#10;gjKERE2Gx0f9o5BgleDUO32YNcvFVBi0Il5b4RfKA8/DMKOuJA1gFSN0trMd4QJs5EJfnOHQKcGw&#10;v61mFCPB4Dl5a0tPSH8j1AqEd9ZWXu/G8Xg2mo0GvUF/OOsN4jzvPZtPB73hPDk+yg/z6TRP3nvy&#10;ySCtOKVMev53Uk8Gfyel3aPbinQv9n2josfooaNA9u4/kA5j95Peamah6Obc+Oq8AkDdIXj3Ev3z&#10;ebgPUfffi8kvAAAA//8DAFBLAwQUAAYACAAAACEAPFpkP94AAAAIAQAADwAAAGRycy9kb3ducmV2&#10;LnhtbEyPQUvDQBCF74L/YRmht3YTqbXGbIpIBU9iWxG8bbNjEpudTXenTfTXd4sHPT0e7/Hmm3wx&#10;2FYc0YfGkYJ0koBAKp1pqFLwtnkaz0EE1mR06wgVfGOARXF5kevMuJ5WeFxzJeIIhUwrqJm7TMpQ&#10;1mh1mLgOKWafzlvN0fpKGq/7OG5beZ0kM2l1Q/FCrTt8rLHcrQ9Wwd2mv3Gvfvc+TZv9x8/yi7vn&#10;F1ZqdDU83INgHPivDGf8iA5FZNq6A5kgWgXjNInorGA2n4I4F26jbn+9LHL5/4HiBAAA//8DAFBL&#10;AQItABQABgAIAAAAIQC2gziS/gAAAOEBAAATAAAAAAAAAAAAAAAAAAAAAABbQ29udGVudF9UeXBl&#10;c10ueG1sUEsBAi0AFAAGAAgAAAAhADj9If/WAAAAlAEAAAsAAAAAAAAAAAAAAAAALwEAAF9yZWxz&#10;Ly5yZWxzUEsBAi0AFAAGAAgAAAAhAD3pYZhjAgAAdwQAAA4AAAAAAAAAAAAAAAAALgIAAGRycy9l&#10;Mm9Eb2MueG1sUEsBAi0AFAAGAAgAAAAhADxaZD/eAAAACAEAAA8AAAAAAAAAAAAAAAAAvQQAAGRy&#10;cy9kb3ducmV2LnhtbFBLBQYAAAAABAAEAPMAAADIBQAAAAA=&#10;">
                      <v:stroke endarrow="block"/>
                    </v:line>
                  </w:pict>
                </mc:Fallback>
              </mc:AlternateContent>
            </w:r>
          </w:p>
        </w:tc>
        <w:tc>
          <w:tcPr>
            <w:tcW w:w="3806" w:type="dxa"/>
            <w:tcBorders>
              <w:bottom w:val="single" w:sz="4" w:space="0" w:color="auto"/>
            </w:tcBorders>
            <w:shd w:val="clear" w:color="auto" w:fill="BFBFBF" w:themeFill="background1" w:themeFillShade="BF"/>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 xml:space="preserve">Температура, вміст вологи, зовнішній вигляд, ідентифікація, </w:t>
            </w:r>
            <w:r w:rsidR="006A0E40">
              <w:rPr>
                <w:rFonts w:ascii="Times New Roman" w:eastAsia="Times New Roman" w:hAnsi="Times New Roman" w:cs="Times New Roman"/>
                <w:sz w:val="21"/>
                <w:szCs w:val="21"/>
                <w:lang w:eastAsia="ru-RU"/>
              </w:rPr>
              <w:t>залишковий вміст важких металів, концентрація</w:t>
            </w:r>
            <w:r w:rsidRPr="00CF22AE">
              <w:rPr>
                <w:rFonts w:ascii="Times New Roman" w:eastAsia="Times New Roman" w:hAnsi="Times New Roman" w:cs="Times New Roman"/>
                <w:sz w:val="21"/>
                <w:szCs w:val="21"/>
                <w:lang w:eastAsia="ru-RU"/>
              </w:rPr>
              <w:t xml:space="preserve"> спирту, мікробіологічна чистота, кількісне визначення</w:t>
            </w:r>
            <w:r w:rsidR="006A0E40">
              <w:rPr>
                <w:rFonts w:ascii="Times New Roman" w:eastAsia="Times New Roman" w:hAnsi="Times New Roman" w:cs="Times New Roman"/>
                <w:sz w:val="21"/>
                <w:szCs w:val="21"/>
                <w:lang w:eastAsia="ru-RU"/>
              </w:rPr>
              <w:t xml:space="preserve"> БАР, РРО</w:t>
            </w:r>
          </w:p>
        </w:tc>
      </w:tr>
      <w:tr w:rsidR="00B314BF" w:rsidRPr="00CF22AE" w:rsidTr="00A570B1">
        <w:trPr>
          <w:trHeight w:val="254"/>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555"/>
        </w:trPr>
        <w:tc>
          <w:tcPr>
            <w:tcW w:w="2943" w:type="dxa"/>
            <w:tcBorders>
              <w:bottom w:val="single" w:sz="4" w:space="0" w:color="auto"/>
            </w:tcBorders>
          </w:tcPr>
          <w:p w:rsidR="00B314BF" w:rsidRPr="00CF22AE" w:rsidRDefault="00B314BF" w:rsidP="006A0E40">
            <w:pPr>
              <w:spacing w:after="0" w:line="240" w:lineRule="atLeast"/>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3840" behindDoc="0" locked="0" layoutInCell="1" allowOverlap="1" wp14:anchorId="47B29950" wp14:editId="29B06ED3">
                      <wp:simplePos x="0" y="0"/>
                      <wp:positionH relativeFrom="column">
                        <wp:posOffset>1795145</wp:posOffset>
                      </wp:positionH>
                      <wp:positionV relativeFrom="paragraph">
                        <wp:posOffset>257810</wp:posOffset>
                      </wp:positionV>
                      <wp:extent cx="176530" cy="0"/>
                      <wp:effectExtent l="0" t="76200" r="13970" b="95250"/>
                      <wp:wrapNone/>
                      <wp:docPr id="64"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416FA8" id="Пряма сполучна лінія 32"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35pt,20.3pt" to="155.2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viRXAIAAG0EAAAOAAAAZHJzL2Uyb0RvYy54bWysVM1uEzEQviPxDpbv6WbTTZquuqlQNuFS&#10;oFLLAzi2N2vhtVe2m02EkEAcOPbWK6/AHQqvsPtGjJ0fWrggRA7O2DP+/M03M3t2vq4kWnFjhVYZ&#10;jo/6GHFFNRNqmeHX1/PeGCPriGJEasUzvOEWn0+ePjlr6pQPdKkl4wYBiLJpU2e4dK5Oo8jSklfE&#10;HumaK3AW2lTEwdYsI2ZIA+iVjAb9/ihqtGG10ZRbC6f51oknAb8oOHWvisJyh2SGgZsLqwnrwq/R&#10;5IykS0PqUtAdDfIPLCoiFDx6gMqJI+jGiD+gKkGNtrpwR1RXkS4KQXnIAbKJ+79lc1WSmodcQBxb&#10;H2Sy/w+WvlxdGiRYhkcJRopUUKP2c/e+u22/tV9Q96H90X5vv3Yfu0/tPRyAedfed3fdLToeePWa&#10;2qYAMlWXxudP1+qqvtD0jUVKT0uiljxkcb2pATn2N6JHV/zG1sBh0bzQDGLIjdNBynVhKg8JIqF1&#10;qNjmUDG+dojCYXwyGh5DXeneFZF0f6821j3nukLeyLAUymtJUrK6sM7zIOk+xB8rPRdShn6QCjUZ&#10;Ph0OhuGC1VIw7/Rh1iwXU2nQiviOCr+QFHgehhl9o1gAKzlhs53tiJBgIxfUcEaAPpJj/1rFGUaS&#10;wxB5a0tPKv8i5AqEd9a2qd6e9k9n49k46SWD0ayX9PO892w+TXqjeXwyzI/z6TSP33nycZKWgjGu&#10;PP99g8fJ3zXQbtS2rXlo8YNQ0WP0oCiQ3f8H0qHYvr7bTllotrk0Pjtfd+jpELybPz80D/ch6tdX&#10;YvITAAD//wMAUEsDBBQABgAIAAAAIQDjkJi+4AAAAAkBAAAPAAAAZHJzL2Rvd25yZXYueG1sTI/B&#10;TsMwDIbvSHuHyJO4saQFRlWaTghpXDaYtiEEt6wxbUXjVEm6lbcniMM42v70+/uLxWg6dkTnW0sS&#10;kpkAhlRZ3VIt4XW/vMqA+aBIq84SSvhGD4tyclGoXNsTbfG4CzWLIeRzJaEJoc8591WDRvmZ7ZHi&#10;7dM6o0IcXc21U6cYbjqeCjHnRrUUPzSqx8cGq6/dYCRs18tV9rYaxsp9PCUv+836+d1nUl5Ox4d7&#10;YAHHcIbhVz+qQxmdDnYg7VknIc3Su4hKuBFzYBG4TsQtsMPfgpcF/9+g/AEAAP//AwBQSwECLQAU&#10;AAYACAAAACEAtoM4kv4AAADhAQAAEwAAAAAAAAAAAAAAAAAAAAAAW0NvbnRlbnRfVHlwZXNdLnht&#10;bFBLAQItABQABgAIAAAAIQA4/SH/1gAAAJQBAAALAAAAAAAAAAAAAAAAAC8BAABfcmVscy8ucmVs&#10;c1BLAQItABQABgAIAAAAIQBRwviRXAIAAG0EAAAOAAAAAAAAAAAAAAAAAC4CAABkcnMvZTJvRG9j&#10;LnhtbFBLAQItABQABgAIAAAAIQDjkJi+4AAAAAkBAAAPAAAAAAAAAAAAAAAAALYEAABkcnMvZG93&#10;bnJldi54bWxQSwUGAAAAAAQABADzAAAAwwUAAAAA&#10;">
                      <v:stroke endarrow="block"/>
                    </v:line>
                  </w:pict>
                </mc:Fallback>
              </mc:AlternateContent>
            </w:r>
            <w:r w:rsidRPr="00CF22AE">
              <w:rPr>
                <w:rFonts w:ascii="Times New Roman" w:eastAsia="Times New Roman" w:hAnsi="Times New Roman" w:cs="Times New Roman"/>
                <w:sz w:val="21"/>
                <w:szCs w:val="21"/>
                <w:lang w:eastAsia="ru-RU"/>
              </w:rPr>
              <w:t xml:space="preserve">Згущена витяжка із стадії 6, </w:t>
            </w:r>
            <w:r>
              <w:rPr>
                <w:rFonts w:ascii="Times New Roman" w:eastAsia="Times New Roman" w:hAnsi="Times New Roman" w:cs="Times New Roman"/>
                <w:sz w:val="21"/>
                <w:szCs w:val="21"/>
                <w:lang w:eastAsia="ru-RU"/>
              </w:rPr>
              <w:t xml:space="preserve">МКЦ200,лактоза,крохмаль  прежелатнізований , неусілін US 2, </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bottom w:val="single" w:sz="4" w:space="0" w:color="auto"/>
            </w:tcBorders>
            <w:shd w:val="clear" w:color="auto" w:fill="auto"/>
          </w:tcPr>
          <w:p w:rsidR="00B314BF" w:rsidRPr="00CF22AE" w:rsidRDefault="00B314BF" w:rsidP="00A570B1">
            <w:pPr>
              <w:pStyle w:val="a3"/>
              <w:spacing w:line="240" w:lineRule="atLeast"/>
              <w:ind w:firstLine="709"/>
              <w:jc w:val="both"/>
              <w:rPr>
                <w:rFonts w:ascii="Times New Roman" w:hAnsi="Times New Roman" w:cs="Times New Roman"/>
                <w:b/>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7936" behindDoc="0" locked="0" layoutInCell="1" allowOverlap="1" wp14:anchorId="7098698B" wp14:editId="2215F1FC">
                      <wp:simplePos x="0" y="0"/>
                      <wp:positionH relativeFrom="column">
                        <wp:posOffset>2094865</wp:posOffset>
                      </wp:positionH>
                      <wp:positionV relativeFrom="paragraph">
                        <wp:posOffset>260350</wp:posOffset>
                      </wp:positionV>
                      <wp:extent cx="179070" cy="0"/>
                      <wp:effectExtent l="38100" t="76200" r="0" b="95250"/>
                      <wp:wrapNone/>
                      <wp:docPr id="65"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4CF815" id="Пряма сполучна лінія 22" o:spid="_x0000_s1026" style="position:absolute;flip:x;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4.95pt,20.5pt" to="179.0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skEYwIAAHcEAAAOAAAAZHJzL2Uyb0RvYy54bWysVMFuEzEQvSPxD5bv6e6GJG1W3VQom8Ch&#10;QKWWD3DW3qyF17ZsN5sIIVFx4Nhbr/wCdyj8wu4fMXbStIULQuTgjD0zz29mnvf4ZF0LtGLGciUz&#10;nBzEGDFZKMrlMsNvL+a9I4ysI5ISoSTL8IZZfDJ5+uS40Snrq0oJygwCEGnTRme4ck6nUWSLitXE&#10;HijNJDhLZWriYGuWETWkAfRaRP04HkWNMlQbVTBr4TTfOvEk4JclK9ybsrTMIZFh4ObCasK68Gs0&#10;OSbp0hBd8WJHg/wDi5pwCZfuoXLiCLo0/A+omhdGWVW6g0LVkSpLXrBQA1STxL9Vc14RzUIt0Byr&#10;922y/w+2eL06M4jTDI+GGElSw4zaL93H7rr93n5F3VX7s/3Rfus+dZ/bWzgA86a97W66a9Tv++41&#10;2qYAMpVnxtdfrOW5PlXFO4ukmlZELlmo4mKjATnxGdGjFL+xGjgsmleKQgy5dCq0cl2aGpWC65c+&#10;0YNDu9A6zG6znx1bO1TAYXI4jg9hwsWdKyKpR/B52lj3gqkaeSPDgkvfVZKS1al1ntF9iD+Was6F&#10;CMoQEjUZHg/7w5BgleDUO32YNcvFVBi0Il5b4RfKA8/DMKMuJQ1gFSN0trMd4QJs5EJfnOHQKcGw&#10;v61mFCPB4Dl5a0tPSH8j1AqEd9ZWXu/H8Xh2NDsa9Ab90aw3iPO893w+HfRG8+RwmD/Lp9M8+eDJ&#10;J4O04pQy6fnfST0Z/J2Udo9uK9K92PeNih6jh44C2bv/QDqM3U96q5mFopsz46vzCgB1h+DdS/TP&#10;5+E+RN1/Lya/AAAA//8DAFBLAwQUAAYACAAAACEAPxRTtOAAAAAJAQAADwAAAGRycy9kb3ducmV2&#10;LnhtbEyPTU/DMAyG70j8h8hI3FjafaC1NJ0QAokTgm1C4pY1pi1rnJJka+HXY8SBHW0/ev28xWq0&#10;nTiiD60jBekkAYFUOdNSrWC7ebhagghRk9GdI1TwhQFW5flZoXPjBnrB4zrWgkMo5FpBE2OfSxmq&#10;Bq0OE9cj8e3deasjj76WxuuBw20np0lyLa1uiT80use7Bqv9+mAVZJth4Z79/nWetp9v3/cfsX98&#10;ikpdXoy3NyAijvEfhl99VoeSnXbuQCaITsFsmmWMKpin3ImB2WKZgtj9LWRZyNMG5Q8AAAD//wMA&#10;UEsBAi0AFAAGAAgAAAAhALaDOJL+AAAA4QEAABMAAAAAAAAAAAAAAAAAAAAAAFtDb250ZW50X1R5&#10;cGVzXS54bWxQSwECLQAUAAYACAAAACEAOP0h/9YAAACUAQAACwAAAAAAAAAAAAAAAAAvAQAAX3Jl&#10;bHMvLnJlbHNQSwECLQAUAAYACAAAACEAzprJBGMCAAB3BAAADgAAAAAAAAAAAAAAAAAuAgAAZHJz&#10;L2Uyb0RvYy54bWxQSwECLQAUAAYACAAAACEAPxRTtOAAAAAJAQAADwAAAAAAAAAAAAAAAAC9BAAA&#10;ZHJzL2Rvd25yZXYueG1sUEsFBgAAAAAEAAQA8wAAAMoFAAAAAA==&#10;">
                      <v:stroke endarrow="block"/>
                    </v:line>
                  </w:pict>
                </mc:Fallback>
              </mc:AlternateContent>
            </w:r>
            <w:r w:rsidRPr="00CF22AE">
              <w:rPr>
                <w:rFonts w:ascii="Times New Roman" w:hAnsi="Times New Roman" w:cs="Times New Roman"/>
                <w:b/>
                <w:sz w:val="21"/>
                <w:szCs w:val="21"/>
                <w:lang w:eastAsia="ru-RU"/>
              </w:rPr>
              <w:t xml:space="preserve">Стадія 7 </w:t>
            </w:r>
            <w:r w:rsidR="006A0E40">
              <w:rPr>
                <w:rFonts w:ascii="Times New Roman" w:hAnsi="Times New Roman" w:cs="Times New Roman"/>
                <w:sz w:val="21"/>
                <w:szCs w:val="21"/>
              </w:rPr>
              <w:t>Підготовка ДР</w:t>
            </w:r>
          </w:p>
          <w:p w:rsidR="00B314BF" w:rsidRPr="00CF22AE" w:rsidRDefault="006A0E40" w:rsidP="00A570B1">
            <w:pPr>
              <w:pStyle w:val="a3"/>
              <w:spacing w:line="240" w:lineRule="atLeast"/>
              <w:ind w:firstLine="709"/>
              <w:jc w:val="both"/>
              <w:rPr>
                <w:sz w:val="21"/>
                <w:szCs w:val="21"/>
                <w:lang w:eastAsia="ru-RU"/>
              </w:rPr>
            </w:pPr>
            <w:r>
              <w:rPr>
                <w:rFonts w:ascii="Times New Roman" w:hAnsi="Times New Roman" w:cs="Times New Roman"/>
                <w:sz w:val="21"/>
                <w:szCs w:val="21"/>
              </w:rPr>
              <w:t>Вага,вібраційне сито</w:t>
            </w:r>
          </w:p>
        </w:tc>
        <w:tc>
          <w:tcPr>
            <w:tcW w:w="236" w:type="dxa"/>
            <w:tcBorders>
              <w:top w:val="nil"/>
              <w:bottom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bottom w:val="single" w:sz="4" w:space="0" w:color="auto"/>
            </w:tcBorders>
            <w:shd w:val="clear" w:color="auto" w:fill="auto"/>
          </w:tcPr>
          <w:p w:rsidR="00B314BF" w:rsidRPr="00CF22AE" w:rsidRDefault="00B314BF" w:rsidP="006A0E40">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Мас</w:t>
            </w:r>
            <w:r w:rsidR="006A0E40">
              <w:rPr>
                <w:rFonts w:ascii="Times New Roman" w:eastAsia="Times New Roman" w:hAnsi="Times New Roman" w:cs="Times New Roman"/>
                <w:sz w:val="21"/>
                <w:szCs w:val="21"/>
                <w:lang w:eastAsia="ru-RU"/>
              </w:rPr>
              <w:t>а</w:t>
            </w:r>
            <w:r w:rsidR="008A4D93">
              <w:rPr>
                <w:rFonts w:ascii="Times New Roman" w:eastAsia="Times New Roman" w:hAnsi="Times New Roman" w:cs="Times New Roman"/>
                <w:sz w:val="21"/>
                <w:szCs w:val="21"/>
                <w:lang w:eastAsia="ru-RU"/>
              </w:rPr>
              <w:t>, РРО</w:t>
            </w:r>
          </w:p>
        </w:tc>
      </w:tr>
      <w:tr w:rsidR="00B314BF" w:rsidRPr="00CF22AE" w:rsidTr="00A570B1">
        <w:trPr>
          <w:trHeight w:val="280"/>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79744" behindDoc="0" locked="0" layoutInCell="1" allowOverlap="1" wp14:anchorId="0BE37AF8" wp14:editId="30F122AF">
                      <wp:simplePos x="0" y="0"/>
                      <wp:positionH relativeFrom="column">
                        <wp:posOffset>952500</wp:posOffset>
                      </wp:positionH>
                      <wp:positionV relativeFrom="paragraph">
                        <wp:posOffset>16510</wp:posOffset>
                      </wp:positionV>
                      <wp:extent cx="0" cy="219075"/>
                      <wp:effectExtent l="76200" t="0" r="76200" b="47625"/>
                      <wp:wrapNone/>
                      <wp:docPr id="66"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DEE9CC" id="Пряма сполучна лінія 34" o:spid="_x0000_s1026" style="position:absolute;flip:x;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pt,1.3pt" to="7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wJsYQIAAHcEAAAOAAAAZHJzL2Uyb0RvYy54bWysVMFuEzEQvSPxD5bvye6mm7RZdVOhbAKH&#10;ApVaPsCxvVkLr23ZTjYRQqLiwLG3XvkF7lD4hd0/wnbSlMIFIXJwxuOZN2/Gz3t6tqk5WFNtmBQ5&#10;TPoxBFRgSZhY5vDN1bx3AoGxSBDEpaA53FIDzyZPn5w2KqMDWUlOqAYORJisUTmsrFVZFBlc0RqZ&#10;vlRUuMNS6hpZt9XLiGjUOPSaR4M4HkWN1ERpiakxzlvsDuEk4JclxfZ1WRpqAc+h42bDqsO68Gs0&#10;OUXZUiNVMbyngf6BRY2YcEUPUAWyCKw0+wOqZlhLI0vbx7KOZFkyTEMPrpsk/q2bywopGnpxwzHq&#10;MCbz/2Dxq/WFBozkcDSCQKDa3VH7ufvQ3bTf2i+gu25/tN/br93H7lN75xzOvG3vutvuBhylfnqN&#10;MpkDmYoL7fvHG3GpziV+a4CQ0wqJJQ1dXG2VQ058RvQoxW+MchwWzUtJXAxaWRlGuSl1DUrO1Auf&#10;6MHduMAm3N32cHd0YwHeObHzDpJxfDwMZVDmEXye0sY+p7IG3sghZ8JPFWVofW6sZ/QQ4t1Czhnn&#10;QRlcgCaH4+FgGBKM5Iz4Qx9m9HIx5RqskddW+O3rPgrTciVIAKsoIrO9bRHjzgY2zMVq5ibFKfTV&#10;akog4NQ9J2/t6HHhK7peHeG9tZPXu3E8np3MTtJeOhjNemlcFL1n82naG82T42FxVEynRfLek0/S&#10;rGKEUOH530s9Sf9OSvtHtxPpQeyHQUWP0cNEHdn7/0A6XLu/6Z1mFpJsL7TvzivAqTsE71+ifz6/&#10;7kPUw/di8hMAAP//AwBQSwMEFAAGAAgAAAAhAHmtslreAAAACAEAAA8AAABkcnMvZG93bnJldi54&#10;bWxMj8FOwzAQRO9I/IO1lbhRJ4UWmsapEAKJEyotQuLmxtskNF4He9sEvh6XCxyfZjX7Jl8OthVH&#10;9KFxpCAdJyCQSmcaqhS8bh4vb0EE1mR06wgVfGGAZXF+luvMuJ5e8LjmSsQSCplWUDN3mZShrNHq&#10;MHYdUsx2zlvNEX0ljdd9LLetnCTJTFrdUPxQ6w7vayz364NVMN/0U7fy+7frtPl8/3744O7pmZW6&#10;GA13CxCMA/8dw0k/qkMRnbbuQCaINvI0iVtYwWQG4pT/8lbB1U0Kssjl/wHFDwAAAP//AwBQSwEC&#10;LQAUAAYACAAAACEAtoM4kv4AAADhAQAAEwAAAAAAAAAAAAAAAAAAAAAAW0NvbnRlbnRfVHlwZXNd&#10;LnhtbFBLAQItABQABgAIAAAAIQA4/SH/1gAAAJQBAAALAAAAAAAAAAAAAAAAAC8BAABfcmVscy8u&#10;cmVsc1BLAQItABQABgAIAAAAIQBZTwJsYQIAAHcEAAAOAAAAAAAAAAAAAAAAAC4CAABkcnMvZTJv&#10;RG9jLnhtbFBLAQItABQABgAIAAAAIQB5rbJa3gAAAAgBAAAPAAAAAAAAAAAAAAAAALsEAABkcnMv&#10;ZG93bnJldi54bWxQSwUGAAAAAAQABADzAAAAxgUAAAAA&#10;">
                      <v:stroke endarrow="block"/>
                    </v:line>
                  </w:pict>
                </mc:Fallback>
              </mc:AlternateContent>
            </w: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rPr>
          <w:trHeight w:val="28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4864" behindDoc="0" locked="0" layoutInCell="1" allowOverlap="1" wp14:anchorId="2DCC5BF5" wp14:editId="13F08B51">
                      <wp:simplePos x="0" y="0"/>
                      <wp:positionH relativeFrom="column">
                        <wp:posOffset>1771015</wp:posOffset>
                      </wp:positionH>
                      <wp:positionV relativeFrom="paragraph">
                        <wp:posOffset>297815</wp:posOffset>
                      </wp:positionV>
                      <wp:extent cx="176530" cy="0"/>
                      <wp:effectExtent l="0" t="76200" r="13970" b="95250"/>
                      <wp:wrapNone/>
                      <wp:docPr id="67"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6BE8A9" id="Пряма сполучна лінія 32" o:spid="_x0000_s1026" style="position:absolute;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45pt,23.45pt" to="153.35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kI4XQIAAG0EAAAOAAAAZHJzL2Uyb0RvYy54bWysVM1uEzEQviPxDpbvyWbTJE1X3VQom3Ap&#10;UKnlARzbm7Xw2ivbySZCSCAOHHvrlVfgDoVX2H0jxs4PLVwQIgdn7Bl//uabmT2/2JQSrbmxQqsU&#10;x90eRlxRzYRapvj1zbwzxsg6ohiRWvEUb7nFF5OnT87rKuF9XWjJuEEAomxSVykunKuSKLK04CWx&#10;XV1xBc5cm5I42JplxAypAb2UUb/XG0W1NqwymnJr4TTbOfEk4Oc5p+5VnlvukEwxcHNhNWFd+DWa&#10;nJNkaUhVCLqnQf6BRUmEgkePUBlxBK2M+AOqFNRoq3PXpbqMdJ4LykMOkE3c+y2b64JUPOQC4tjq&#10;KJP9f7D05frKIMFSPDrFSJESatR8bt+3t8235gtqPzQ/mu/N1/Zj+6m5hwMw75r79q69RSd9r15d&#10;2QRApurK+PzpRl1Xl5q+sUjpaUHUkocsbrYVIMf+RvToit/YCjgs6heaQQxZOR2k3OSm9JAgEtqE&#10;im2PFeMbhygcxqej4QnUlR5cEUkO9ypj3XOuS+SNFEuhvJYkIetL6zwPkhxC/LHScyFl6AepUJ3i&#10;s2F/GC5YLQXzTh9mzXIxlQatie+o8AtJgedhmNErxQJYwQmb7W1HhAQbuaCGMwL0kRz710rOMJIc&#10;hshbO3pS+RchVyC8t3ZN9fasdzYbz8aDzqA/mnUGvSzrPJtPB53RPD4dZifZdJrF7zz5eJAUgjGu&#10;PP9Dg8eDv2ug/ajtWvPY4kehosfoQVEge/gPpEOxfX13nbLQbHtlfHa+7tDTIXg/f35oHu5D1K+v&#10;xOQnAAAA//8DAFBLAwQUAAYACAAAACEAVtGNQOAAAAAJAQAADwAAAGRycy9kb3ducmV2LnhtbEyP&#10;wU7DMAyG70i8Q2QkbizdQF0pTSeENC4bQ9sQglvWmLaicaok3crbY8QBTpbtT78/F4vRduKIPrSO&#10;FEwnCQikypmWagUv++VVBiJETUZ3jlDBFwZYlOdnhc6NO9EWj7tYCw6hkGsFTYx9LmWoGrQ6TFyP&#10;xLsP562O3PpaGq9PHG47OUuSVFrdEl9odI8PDVafu8Eq2K6Xq+x1NYyVf3+cbvbP66e3kCl1eTHe&#10;34GIOMY/GH70WR1Kdjq4gUwQnYLZPLtlVMFNypWB6ySdgzj8DmRZyP8flN8AAAD//wMAUEsBAi0A&#10;FAAGAAgAAAAhALaDOJL+AAAA4QEAABMAAAAAAAAAAAAAAAAAAAAAAFtDb250ZW50X1R5cGVzXS54&#10;bWxQSwECLQAUAAYACAAAACEAOP0h/9YAAACUAQAACwAAAAAAAAAAAAAAAAAvAQAAX3JlbHMvLnJl&#10;bHNQSwECLQAUAAYACAAAACEAhpZCOF0CAABtBAAADgAAAAAAAAAAAAAAAAAuAgAAZHJzL2Uyb0Rv&#10;Yy54bWxQSwECLQAUAAYACAAAACEAVtGNQOAAAAAJAQAADwAAAAAAAAAAAAAAAAC3BAAAZHJzL2Rv&#10;d25yZXYueG1sUEsFBgAAAAAEAAQA8wAAAMQFAAAAAA==&#10;">
                      <v:stroke endarrow="block"/>
                    </v:line>
                  </w:pict>
                </mc:Fallback>
              </mc:AlternateContent>
            </w:r>
            <w:r w:rsidRPr="00CF22AE">
              <w:rPr>
                <w:rFonts w:ascii="Times New Roman" w:eastAsia="Times New Roman" w:hAnsi="Times New Roman" w:cs="Times New Roman"/>
                <w:sz w:val="21"/>
                <w:szCs w:val="21"/>
                <w:lang w:eastAsia="ru-RU"/>
              </w:rPr>
              <w:t>Компоненти із стадії 7, 5 % крохмальний клейстер</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bottom w:val="single" w:sz="4" w:space="0" w:color="auto"/>
            </w:tcBorders>
            <w:shd w:val="clear" w:color="auto" w:fill="BFBFBF" w:themeFill="background1" w:themeFillShade="BF"/>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8 </w:t>
            </w:r>
            <w:r w:rsidRPr="00CF22AE">
              <w:rPr>
                <w:rFonts w:ascii="Times New Roman" w:eastAsia="Times New Roman" w:hAnsi="Times New Roman" w:cs="Times New Roman"/>
                <w:sz w:val="21"/>
                <w:szCs w:val="21"/>
                <w:lang w:eastAsia="ru-RU"/>
              </w:rPr>
              <w:t>Змішування, зволоження</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8960" behindDoc="0" locked="0" layoutInCell="1" allowOverlap="1" wp14:anchorId="0E1D5694" wp14:editId="168F2F6E">
                      <wp:simplePos x="0" y="0"/>
                      <wp:positionH relativeFrom="column">
                        <wp:posOffset>2115185</wp:posOffset>
                      </wp:positionH>
                      <wp:positionV relativeFrom="paragraph">
                        <wp:posOffset>144145</wp:posOffset>
                      </wp:positionV>
                      <wp:extent cx="179070" cy="0"/>
                      <wp:effectExtent l="38100" t="76200" r="0" b="95250"/>
                      <wp:wrapNone/>
                      <wp:docPr id="68"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25E0CB" id="Пряма сполучна лінія 22" o:spid="_x0000_s1026" style="position:absolute;flip:x;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55pt,11.35pt" to="180.65pt,1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RCtYwIAAHcEAAAOAAAAZHJzL2Uyb0RvYy54bWysVMFuEzEQvSPxD5bv6e6GNE1W3VQom8Ch&#10;QKWWD3DW3qyF17ZsN5sIIVFx4Nhbr/wCdyj8wu4fMXbStIULQuTgjD0zz29mnvf4ZF0LtGLGciUz&#10;nBzEGDFZKMrlMsNvL+a9EUbWEUmJUJJleMMsPpk8fXLc6JT1VaUEZQYBiLRpozNcOafTKLJFxWpi&#10;D5RmEpylMjVxsDXLiBrSAHoton4cD6NGGaqNKpi1cJpvnXgS8MuSFe5NWVrmkMgwcHNhNWFd+DWa&#10;HJN0aYiueLGjQf6BRU24hEv3UDlxBF0a/gdUzQujrCrdQaHqSJUlL1ioAapJ4t+qOa+IZqEWaI7V&#10;+zbZ/wdbvF6dGcRphocwKUlqmFH7pfvYXbff26+ou2p/tj/ab92n7nN7Cwdg3rS33U13jfp9371G&#10;2xRApvLM+PqLtTzXp6p4Z5FU04rIJQtVXGw0ICc+I3qU4jdWA4dF80pRiCGXToVWrktTo1Jw/dIn&#10;enBoF1qH2W32s2Nrhwo4TI7G8RFMuLhzRST1CD5PG+teMFUjb2RYcOm7SlKyOrXOM7oP8cdSzbkQ&#10;QRlCoibD48P+YUiwSnDqnT7MmuViKgxaEa+t8AvlgedhmFGXkgawihE629mOcAE2cqEvznDolGDY&#10;31YzipFg8Jy8taUnpL8RagXCO2srr/fjeDwbzUaD3qA/nPUGcZ73ns+ng95wnhwd5s/y6TRPPnjy&#10;ySCtOKVMev53Uk8Gfyel3aPbinQv9n2josfooaNA9u4/kA5j95Peamah6ObM+Oq8AkDdIXj3Ev3z&#10;ebgPUfffi8kvAAAA//8DAFBLAwQUAAYACAAAACEAGNqwO+AAAAAJAQAADwAAAGRycy9kb3ducmV2&#10;LnhtbEyPwU7DMAyG70i8Q+RJ3FjaBgbrmk4IgcQJwTZN4pY1XlvWOCXJ1sLTE8QBjrY//f7+Yjma&#10;jp3Q+daShHSaAEOqrG6plrBZP17eAvNBkVadJZTwiR6W5flZoXJtB3rF0yrULIaQz5WEJoQ+59xX&#10;DRrlp7ZHire9dUaFOLqaa6eGGG46niXJjBvVUvzQqB7vG6wOq6ORMF8P1/bFHbZXafvx9vXwHvqn&#10;5yDlxWS8WwALOIY/GH70ozqU0Wlnj6Q96yQIIdKISsiyG2ARELNUANv9LnhZ8P8Nym8AAAD//wMA&#10;UEsBAi0AFAAGAAgAAAAhALaDOJL+AAAA4QEAABMAAAAAAAAAAAAAAAAAAAAAAFtDb250ZW50X1R5&#10;cGVzXS54bWxQSwECLQAUAAYACAAAACEAOP0h/9YAAACUAQAACwAAAAAAAAAAAAAAAAAvAQAAX3Jl&#10;bHMvLnJlbHNQSwECLQAUAAYACAAAACEAGU0QrWMCAAB3BAAADgAAAAAAAAAAAAAAAAAuAgAAZHJz&#10;L2Uyb0RvYy54bWxQSwECLQAUAAYACAAAACEAGNqwO+AAAAAJAQAADwAAAAAAAAAAAAAAAAC9BAAA&#10;ZHJzL2Rvd25yZXYueG1sUEsFBgAAAAAEAAQA8wAAAMoFAAAAAA==&#10;">
                      <v:stroke endarrow="block"/>
                    </v:line>
                  </w:pict>
                </mc:Fallback>
              </mc:AlternateContent>
            </w:r>
            <w:r w:rsidRPr="00CF22AE">
              <w:rPr>
                <w:rFonts w:ascii="Times New Roman" w:eastAsia="Times New Roman" w:hAnsi="Times New Roman" w:cs="Times New Roman"/>
                <w:sz w:val="21"/>
                <w:szCs w:val="21"/>
              </w:rPr>
              <w:t>Багатонапрямковий рухомий міксер, ємності</w:t>
            </w:r>
          </w:p>
        </w:tc>
        <w:tc>
          <w:tcPr>
            <w:tcW w:w="236" w:type="dxa"/>
            <w:tcBorders>
              <w:top w:val="nil"/>
              <w:bottom w:val="nil"/>
            </w:tcBorders>
            <w:shd w:val="clear" w:color="auto" w:fill="FFFFFF" w:themeFill="background1"/>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bottom w:val="single" w:sz="4" w:space="0" w:color="auto"/>
            </w:tcBorders>
            <w:shd w:val="clear" w:color="auto" w:fill="BFBFBF" w:themeFill="background1" w:themeFillShade="BF"/>
          </w:tcPr>
          <w:p w:rsidR="00B314BF" w:rsidRPr="00CF22AE" w:rsidRDefault="00B314BF" w:rsidP="006A0E40">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rPr>
              <w:t xml:space="preserve">Маса </w:t>
            </w:r>
            <w:r w:rsidR="006A0E40">
              <w:rPr>
                <w:rFonts w:ascii="Times New Roman" w:eastAsia="Times New Roman" w:hAnsi="Times New Roman" w:cs="Times New Roman"/>
                <w:sz w:val="21"/>
                <w:szCs w:val="21"/>
                <w:lang w:eastAsia="ru-RU"/>
              </w:rPr>
              <w:t xml:space="preserve"> однорідність змішування</w:t>
            </w:r>
            <w:r w:rsidR="006A0E40" w:rsidRPr="00CF22AE">
              <w:rPr>
                <w:rFonts w:ascii="Times New Roman" w:eastAsia="Times New Roman" w:hAnsi="Times New Roman" w:cs="Times New Roman"/>
                <w:sz w:val="21"/>
                <w:szCs w:val="21"/>
                <w:lang w:eastAsia="ru-RU"/>
              </w:rPr>
              <w:t xml:space="preserve"> компонентів, діаметр отворів сита</w:t>
            </w:r>
            <w:r w:rsidR="006A0E40">
              <w:rPr>
                <w:rFonts w:ascii="Times New Roman" w:eastAsia="Times New Roman" w:hAnsi="Times New Roman" w:cs="Times New Roman"/>
                <w:sz w:val="21"/>
                <w:szCs w:val="21"/>
                <w:lang w:eastAsia="ru-RU"/>
              </w:rPr>
              <w:t>, РРО</w:t>
            </w:r>
          </w:p>
        </w:tc>
      </w:tr>
      <w:tr w:rsidR="00B314BF" w:rsidRPr="00CF22AE" w:rsidTr="00A570B1">
        <w:trPr>
          <w:trHeight w:val="280"/>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0768" behindDoc="0" locked="0" layoutInCell="1" allowOverlap="1" wp14:anchorId="3F0032E1" wp14:editId="05ACCAB7">
                      <wp:simplePos x="0" y="0"/>
                      <wp:positionH relativeFrom="column">
                        <wp:posOffset>968375</wp:posOffset>
                      </wp:positionH>
                      <wp:positionV relativeFrom="paragraph">
                        <wp:posOffset>1905</wp:posOffset>
                      </wp:positionV>
                      <wp:extent cx="0" cy="219075"/>
                      <wp:effectExtent l="76200" t="0" r="76200" b="47625"/>
                      <wp:wrapNone/>
                      <wp:docPr id="69"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DEE119" id="Пряма сполучна лінія 34" o:spid="_x0000_s1026" style="position:absolute;flip:x;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25pt,.15pt" to="76.2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a92YQIAAHcEAAAOAAAAZHJzL2Uyb0RvYy54bWysVMFuEzEQvSPxD5bvye6mm7RZdVOhbAKH&#10;ApVaPsCxvVkLr23ZTjYRQqLiwLG3XvkF7lD4hd0/wnbSlMIFIXJwxuOZN2/Gz3t6tqk5WFNtmBQ5&#10;TPoxBFRgSZhY5vDN1bx3AoGxSBDEpaA53FIDzyZPn5w2KqMDWUlOqAYORJisUTmsrFVZFBlc0RqZ&#10;vlRUuMNS6hpZt9XLiGjUOPSaR4M4HkWN1ERpiakxzlvsDuEk4JclxfZ1WRpqAc+h42bDqsO68Gs0&#10;OUXZUiNVMbyngf6BRY2YcEUPUAWyCKw0+wOqZlhLI0vbx7KOZFkyTEMPrpsk/q2bywopGnpxwzHq&#10;MCbz/2Dxq/WFBozkcDSGQKDa3VH7ufvQ3bTf2i+gu25/tN/br93H7lN75xzOvG3vutvuBhylfnqN&#10;MpkDmYoL7fvHG3GpziV+a4CQ0wqJJQ1dXG2VQ058RvQoxW+MchwWzUtJXAxaWRlGuSl1DUrO1Auf&#10;6MHduMAm3N32cHd0YwHeObHzDpJxfDwMZVDmEXye0sY+p7IG3sghZ8JPFWVofW6sZ/QQ4t1Czhnn&#10;QRlcgCaH4+FgGBKM5Iz4Qx9m9HIx5RqskddW+O3rPgrTciVIAKsoIrO9bRHjzgY2zMVq5ibFKfTV&#10;akog4NQ9J2/t6HHhK7peHeG9tZPXu3E8np3MTtJeOhjNemlcFL1n82naG82T42FxVEynRfLek0/S&#10;rGKEUOH530s9Sf9OSvtHtxPpQeyHQUWP0cNEHdn7/0A6XLu/6Z1mFpJsL7TvzivAqTsE71+ifz6/&#10;7kPUw/di8hMAAP//AwBQSwMEFAAGAAgAAAAhANmTVl7bAAAABwEAAA8AAABkcnMvZG93bnJldi54&#10;bWxMjsFOwzAQRO9I/QdrK3GjTkuDSohTVQgkToi2CImbGy9J2ngdbLcJfD1bLnB8mtHMy5eDbcUJ&#10;fWgcKZhOEhBIpTMNVQpet49XCxAhajK6dYQKvjDAshhd5Dozrqc1njaxEjxCIdMK6hi7TMpQ1mh1&#10;mLgOibMP562OjL6Sxuuex20rZ0lyI61uiB9q3eF9jeVhc7QKbrd96l784W0+bT7fvx/2sXt6jkpd&#10;jofVHYiIQ/wrw1mf1aFgp507kgmiZU5nKVcVXIM4x7+4Y5wvQBa5/O9f/AAAAP//AwBQSwECLQAU&#10;AAYACAAAACEAtoM4kv4AAADhAQAAEwAAAAAAAAAAAAAAAAAAAAAAW0NvbnRlbnRfVHlwZXNdLnht&#10;bFBLAQItABQABgAIAAAAIQA4/SH/1gAAAJQBAAALAAAAAAAAAAAAAAAAAC8BAABfcmVscy8ucmVs&#10;c1BLAQItABQABgAIAAAAIQCh9a92YQIAAHcEAAAOAAAAAAAAAAAAAAAAAC4CAABkcnMvZTJvRG9j&#10;LnhtbFBLAQItABQABgAIAAAAIQDZk1Ze2wAAAAcBAAAPAAAAAAAAAAAAAAAAALsEAABkcnMvZG93&#10;bnJldi54bWxQSwUGAAAAAAQABADzAAAAwwUAAAAA&#10;">
                      <v:stroke endarrow="block"/>
                    </v:line>
                  </w:pict>
                </mc:Fallback>
              </mc:AlternateContent>
            </w: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rPr>
            </w:pPr>
          </w:p>
        </w:tc>
      </w:tr>
      <w:tr w:rsidR="00B314BF" w:rsidRPr="00CF22AE" w:rsidTr="00A570B1">
        <w:trPr>
          <w:trHeight w:val="28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Із стадії 8</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5888" behindDoc="0" locked="0" layoutInCell="1" allowOverlap="1" wp14:anchorId="50E99450" wp14:editId="2BEBA5FE">
                      <wp:simplePos x="0" y="0"/>
                      <wp:positionH relativeFrom="column">
                        <wp:posOffset>-69541</wp:posOffset>
                      </wp:positionH>
                      <wp:positionV relativeFrom="paragraph">
                        <wp:posOffset>180580</wp:posOffset>
                      </wp:positionV>
                      <wp:extent cx="176530" cy="0"/>
                      <wp:effectExtent l="0" t="76200" r="13970" b="95250"/>
                      <wp:wrapNone/>
                      <wp:docPr id="70"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98BF42" id="Пряма сполучна лінія 32" o:spid="_x0000_s1026" style="position:absolute;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pt,14.2pt" to="8.4pt,1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STfXAIAAG0EAAAOAAAAZHJzL2Uyb0RvYy54bWysVM1uEzEQviPxDpbvyWbTJE1X3VQom3Ap&#10;UKnlARzbm7Xw2ivbySZCSCAOHHvrlVfgDoVX2H0jxs4PLVwQIgdn7Bl//uabmT2/2JQSrbmxQqsU&#10;x90eRlxRzYRapvj1zbwzxsg6ohiRWvEUb7nFF5OnT87rKuF9XWjJuEEAomxSVykunKuSKLK04CWx&#10;XV1xBc5cm5I42JplxAypAb2UUb/XG0W1NqwymnJr4TTbOfEk4Oc5p+5VnlvukEwxcHNhNWFd+DWa&#10;nJNkaUhVCLqnQf6BRUmEgkePUBlxBK2M+AOqFNRoq3PXpbqMdJ4LykMOkE3c+y2b64JUPOQC4tjq&#10;KJP9f7D05frKIMFSfAryKFJCjZrP7fv2tvnWfEHth+ZH87352n5sPzX3cADmXXPf3rW36KTv1asr&#10;mwDIVF0Znz/dqOvqUtM3Fik9LYha8pDFzbYC5NjfiB5d8RtbAYdF/UIziCErp4OUm9yUHhJEQptQ&#10;se2xYnzjEIXD+HQ0PAHi9OCKSHK4VxnrnnNdIm+kWArltSQJWV9a53mQ5BDij5WeCylDP0iF6hSf&#10;DfvDcMFqKZh3+jBrloupNGhNfEeFX0gKPA/DjF4pFsAKTthsbzsiJNjIBTWcEaCP5Ni/VnKGkeQw&#10;RN7a0ZPKvwi5AuG9tWuqt2e9s9l4Nh50Bv3RrDPoZVnn2Xw66Izm8ekwO8mm0yx+58nHg6QQjHHl&#10;+R8aPB78XQPtR23XmscWPwoVPUYPigLZw38gHYrt67vrlIVm2yvjs/N1h54Owfv580PzcB+ifn0l&#10;Jj8BAAD//wMAUEsDBBQABgAIAAAAIQBcjGEs3gAAAAgBAAAPAAAAZHJzL2Rvd25yZXYueG1sTI9B&#10;S8NAEIXvgv9hGcFbu0mREmI2RYR6aVXairS3bXZMgtnZsLtp4793iod6fMzjzfcVi9F24oQ+tI4U&#10;pNMEBFLlTEu1go/dcpKBCFGT0Z0jVPCDARbl7U2hc+POtMHTNtaCRyjkWkETY59LGaoGrQ5T1yPx&#10;7ct5qyNHX0vj9ZnHbSdnSTKXVrfEHxrd43OD1fd2sAo26+Uq+1wNY+UPL+nb7n39ug+ZUvd349Mj&#10;iIhjvJbhgs/oUDLT0Q1kgugUTNKUXaKCWfYA4lKYs8rxL8uykP8Fyl8AAAD//wMAUEsBAi0AFAAG&#10;AAgAAAAhALaDOJL+AAAA4QEAABMAAAAAAAAAAAAAAAAAAAAAAFtDb250ZW50X1R5cGVzXS54bWxQ&#10;SwECLQAUAAYACAAAACEAOP0h/9YAAACUAQAACwAAAAAAAAAAAAAAAAAvAQAAX3JlbHMvLnJlbHNQ&#10;SwECLQAUAAYACAAAACEAxaEk31wCAABtBAAADgAAAAAAAAAAAAAAAAAuAgAAZHJzL2Uyb0RvYy54&#10;bWxQSwECLQAUAAYACAAAACEAXIxhLN4AAAAIAQAADwAAAAAAAAAAAAAAAAC2BAAAZHJzL2Rvd25y&#10;ZXYueG1sUEsFBgAAAAAEAAQA8wAAAMEFAAAAAA==&#10;">
                      <v:stroke endarrow="block"/>
                    </v:line>
                  </w:pict>
                </mc:Fallback>
              </mc:AlternateContent>
            </w:r>
          </w:p>
        </w:tc>
        <w:tc>
          <w:tcPr>
            <w:tcW w:w="3449" w:type="dxa"/>
            <w:gridSpan w:val="2"/>
            <w:tcBorders>
              <w:bottom w:val="single" w:sz="4" w:space="0" w:color="auto"/>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Стадія 9 </w:t>
            </w:r>
            <w:r w:rsidRPr="00CF22AE">
              <w:rPr>
                <w:rFonts w:ascii="Times New Roman" w:eastAsia="Times New Roman" w:hAnsi="Times New Roman" w:cs="Times New Roman"/>
                <w:sz w:val="21"/>
                <w:szCs w:val="21"/>
                <w:lang w:eastAsia="ru-RU"/>
              </w:rPr>
              <w:t>Гранулювання</w:t>
            </w:r>
            <w:r w:rsidR="006A0E40">
              <w:rPr>
                <w:rFonts w:ascii="Times New Roman" w:eastAsia="Times New Roman" w:hAnsi="Times New Roman" w:cs="Times New Roman"/>
                <w:sz w:val="21"/>
                <w:szCs w:val="21"/>
                <w:lang w:eastAsia="ru-RU"/>
              </w:rPr>
              <w:t xml:space="preserve"> маси</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9984" behindDoc="0" locked="0" layoutInCell="1" allowOverlap="1" wp14:anchorId="0A4BCE74" wp14:editId="193BEF11">
                      <wp:simplePos x="0" y="0"/>
                      <wp:positionH relativeFrom="column">
                        <wp:posOffset>2115185</wp:posOffset>
                      </wp:positionH>
                      <wp:positionV relativeFrom="paragraph">
                        <wp:posOffset>24765</wp:posOffset>
                      </wp:positionV>
                      <wp:extent cx="179070" cy="0"/>
                      <wp:effectExtent l="38100" t="76200" r="0" b="95250"/>
                      <wp:wrapNone/>
                      <wp:docPr id="72"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0214CB" id="Пряма сполучна лінія 22" o:spid="_x0000_s1026" style="position:absolute;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55pt,1.95pt" to="180.6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pfrYwIAAHcEAAAOAAAAZHJzL2Uyb0RvYy54bWysVM1uEzEQviPxDpbv6f6QNs2qG4SyCRwK&#10;VGp5AGftzVp4bct2s4kQEogDx9565RW4Q+EVdt+IsZOmLVwQIgdn7Jn5/M3M5z15um4EWjFjuZI5&#10;Tg5ijJgsFeVymeM3F/PBMUbWEUmJUJLleMMsfjp5/Oik1RlLVa0EZQYBiLRZq3NcO6ezKLJlzRpi&#10;D5RmEpyVMg1xsDXLiBrSAnojojSOj6JWGaqNKpm1cFpsnXgS8KuKle51VVnmkMgxcHNhNWFd+DWa&#10;nJBsaYiuebmjQf6BRUO4hEv3UAVxBF0a/gdUw0ujrKrcQamaSFUVL1moAapJ4t+qOa+JZqEWaI7V&#10;+zbZ/wdbvlqdGcRpjkcpRpI0MKPuS/+hv+q+d19R/7H72f3ovvWf+s/dDRyAed3d9Nf9FUpT371W&#10;2wxApvLM+PrLtTzXp6p8a5FU05rIJQtVXGw0ICc+I3qQ4jdWA4dF+1JRiCGXToVWrivToEpw/cIn&#10;enBoF1qH2W32s2Nrh0o4TEbjeAQTLm9dEck8gs/TxrrnTDXIGzkWXPqukoysTq3zjO5C/LFUcy5E&#10;UIaQqM3x+DA9DAlWCU6904dZs1xMhUEr4rUVfqE88NwPM+pS0gBWM0JnO9sRLsBGLvTFGQ6dEgz7&#10;2xpGMRIMnpO3tvSE9DdCrUB4Z23l9W4cj2fHs+PhYJgezQbDuCgGz+bT4eBonowOiyfFdFok7z35&#10;ZJjVnFImPf9bqSfDv5PS7tFtRboX+75R0UP00FEge/sfSIex+0lvNbNQdHNmfHVeAaDuELx7if75&#10;3N+HqLvvxeQXAAAA//8DAFBLAwQUAAYACAAAACEA1TQ+KNwAAAAHAQAADwAAAGRycy9kb3ducmV2&#10;LnhtbEyOwU7DMBBE70j8g7VI3KgTDBUNcSqEQOKEaIuQuLnxkoTG62C7TeDrWbjAbUYzmnnlcnK9&#10;OGCInScN+SwDgVR721Gj4Xlzf3YFIiZD1vSeUMMnRlhWx0elKawfaYWHdWoEj1AsjIY2paGQMtYt&#10;OhNnfkDi7M0HZxLb0EgbzMjjrpfnWTaXznTED60Z8LbFerfeOw2LzXjpn8Lu5SLvPl6/7t7T8PCY&#10;tD49mW6uQSSc0l8ZfvAZHSpm2vo92Sh6DUqpnKssFiA4V/Ncgdj+elmV8j9/9Q0AAP//AwBQSwEC&#10;LQAUAAYACAAAACEAtoM4kv4AAADhAQAAEwAAAAAAAAAAAAAAAAAAAAAAW0NvbnRlbnRfVHlwZXNd&#10;LnhtbFBLAQItABQABgAIAAAAIQA4/SH/1gAAAJQBAAALAAAAAAAAAAAAAAAAAC8BAABfcmVscy8u&#10;cmVsc1BLAQItABQABgAIAAAAIQDTupfrYwIAAHcEAAAOAAAAAAAAAAAAAAAAAC4CAABkcnMvZTJv&#10;RG9jLnhtbFBLAQItABQABgAIAAAAIQDVND4o3AAAAAcBAAAPAAAAAAAAAAAAAAAAAL0EAABkcnMv&#10;ZG93bnJldi54bWxQSwUGAAAAAAQABADzAAAAxgUAAAAA&#10;">
                      <v:stroke endarrow="block"/>
                    </v:line>
                  </w:pict>
                </mc:Fallback>
              </mc:AlternateContent>
            </w: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1792" behindDoc="0" locked="0" layoutInCell="1" allowOverlap="1" wp14:anchorId="2B4F181F" wp14:editId="145D38E7">
                      <wp:simplePos x="0" y="0"/>
                      <wp:positionH relativeFrom="column">
                        <wp:posOffset>969010</wp:posOffset>
                      </wp:positionH>
                      <wp:positionV relativeFrom="paragraph">
                        <wp:posOffset>140970</wp:posOffset>
                      </wp:positionV>
                      <wp:extent cx="0" cy="219075"/>
                      <wp:effectExtent l="76200" t="0" r="76200" b="47625"/>
                      <wp:wrapNone/>
                      <wp:docPr id="73" name="Пряма сполучна ліні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190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2482F4" id="Пряма сполучна лінія 34" o:spid="_x0000_s1026" style="position:absolute;flip:x;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6.3pt,11.1pt" to="76.3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igwYgIAAHcEAAAOAAAAZHJzL2Uyb0RvYy54bWysVMFuEzEQvSPxD5bv6e4mmzZZdVOhbAKH&#10;ApVaPsCxvVkLr23ZbjYRQqLiwLG3XvkF7lD4hd0/wnbSlMAFIXJwxuOZN2/Gz3t6tq45WFFtmBQ5&#10;TI5iCKjAkjCxzOGbq3lvBIGxSBDEpaA53FADzyZPn5w2KqN9WUlOqAYORJisUTmsrFVZFBlc0RqZ&#10;I6mocIel1DWybquXEdGoceg1j/pxfBw1UhOlJabGOG+xPYSTgF+WFNvXZWmoBTyHjpsNqw7rwq/R&#10;5BRlS41UxfCOBvoHFjViwhXdQxXIInCt2R9QNcNaGlnaIyzrSJYlwzT04LpJ4t+6uayQoqEXNxyj&#10;9mMy/w8Wv1pdaMBIDk8GEAhUuztqP3cfutv2W/sFdDftj/Z7+7X72H1q753DmXftfXfX3YJB6qfX&#10;KJM5kKm40L5/vBaX6lzitwYIOa2QWNLQxdVGOeTEZ0QHKX5jlOOwaF5K4mLQtZVhlOtS16DkTL3w&#10;iR7cjQusw91t9ndH1xbgrRM7bz8ZxyfDUAZlHsHnKW3scypr4I0ccib8VFGGVufGekaPId4t5Jxx&#10;HpTBBWhyOB72hyHBSM6IP/RhRi8XU67BCnlthd+u7kGYlteCBLCKIjLb2RYx7mxgw1ysZm5SnEJf&#10;raYEAk7dc/LWlh4XvqLr1RHeWVt5vRvH49loNkp7af941kvjoug9m0/T3vE8ORkWg2I6LZL3nnyS&#10;ZhUjhArP/0HqSfp3Uto9uq1I92LfDyo6RA8TdWQf/gPpcO3+preaWUiyudC+O68Ap+4QvHuJ/vn8&#10;ug9Rj9+LyU8AAAD//wMAUEsDBBQABgAIAAAAIQDHKTgd3wAAAAkBAAAPAAAAZHJzL2Rvd25yZXYu&#10;eG1sTI/BTsMwDIbvSHuHyJO4sXQR7aA0nRACiROCDU3aLWtMW9Y4JcnWwtOTcWHH3/70+3OxHE3H&#10;juh8a0nCfJYAQ6qsbqmW8L5+uroB5oMirTpLKOEbPSzLyUWhcm0HesPjKtQslpDPlYQmhD7n3FcN&#10;GuVntkeKuw/rjAoxupprp4ZYbjoukiTjRrUULzSqx4cGq/3qYCTcrofUvrr95nrefm1/Hj9D//wS&#10;pLycjvd3wAKO4R+Gk35UhzI67eyBtGddzKnIIipBCAHsBPwNdhLSbAG8LPj5B+UvAAAA//8DAFBL&#10;AQItABQABgAIAAAAIQC2gziS/gAAAOEBAAATAAAAAAAAAAAAAAAAAAAAAABbQ29udGVudF9UeXBl&#10;c10ueG1sUEsBAi0AFAAGAAgAAAAhADj9If/WAAAAlAEAAAsAAAAAAAAAAAAAAAAALwEAAF9yZWxz&#10;Ly5yZWxzUEsBAi0AFAAGAAgAAAAhAGsCKDBiAgAAdwQAAA4AAAAAAAAAAAAAAAAALgIAAGRycy9l&#10;Mm9Eb2MueG1sUEsBAi0AFAAGAAgAAAAhAMcpOB3fAAAACQEAAA8AAAAAAAAAAAAAAAAAvAQAAGRy&#10;cy9kb3ducmV2LnhtbFBLBQYAAAAABAAEAPMAAADIBQAAAAA=&#10;">
                      <v:stroke endarrow="block"/>
                    </v:line>
                  </w:pict>
                </mc:Fallback>
              </mc:AlternateContent>
            </w:r>
            <w:r w:rsidRPr="00CF22AE">
              <w:rPr>
                <w:rFonts w:ascii="Times New Roman" w:eastAsia="Times New Roman" w:hAnsi="Times New Roman" w:cs="Times New Roman"/>
                <w:sz w:val="21"/>
                <w:szCs w:val="21"/>
                <w:lang w:eastAsia="ru-RU"/>
              </w:rPr>
              <w:t>Гранулятор</w:t>
            </w:r>
            <w:r w:rsidR="006A0E40">
              <w:rPr>
                <w:rFonts w:ascii="Times New Roman" w:eastAsia="Times New Roman" w:hAnsi="Times New Roman" w:cs="Times New Roman"/>
                <w:sz w:val="21"/>
                <w:szCs w:val="21"/>
                <w:lang w:eastAsia="ru-RU"/>
              </w:rPr>
              <w:t>, збірник</w:t>
            </w:r>
          </w:p>
        </w:tc>
        <w:tc>
          <w:tcPr>
            <w:tcW w:w="236" w:type="dxa"/>
            <w:tcBorders>
              <w:top w:val="nil"/>
              <w:bottom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bottom w:val="single" w:sz="4" w:space="0" w:color="auto"/>
            </w:tcBorders>
            <w:shd w:val="clear" w:color="auto" w:fill="auto"/>
          </w:tcPr>
          <w:p w:rsidR="00B314BF" w:rsidRPr="00CF22AE" w:rsidRDefault="00B314BF" w:rsidP="003E1E87">
            <w:pPr>
              <w:spacing w:after="0" w:line="240" w:lineRule="atLeast"/>
              <w:ind w:firstLine="709"/>
              <w:jc w:val="both"/>
              <w:rPr>
                <w:rFonts w:ascii="Times New Roman" w:eastAsia="Times New Roman" w:hAnsi="Times New Roman" w:cs="Times New Roman"/>
                <w:sz w:val="21"/>
                <w:szCs w:val="21"/>
              </w:rPr>
            </w:pPr>
            <w:r w:rsidRPr="00CF22AE">
              <w:rPr>
                <w:rFonts w:ascii="Times New Roman" w:eastAsia="Times New Roman" w:hAnsi="Times New Roman" w:cs="Times New Roman"/>
                <w:sz w:val="21"/>
                <w:szCs w:val="21"/>
              </w:rPr>
              <w:t xml:space="preserve">Маса, </w:t>
            </w:r>
            <w:r w:rsidR="003E1E87">
              <w:rPr>
                <w:rFonts w:ascii="Times New Roman" w:eastAsia="Times New Roman" w:hAnsi="Times New Roman" w:cs="Times New Roman"/>
                <w:sz w:val="21"/>
                <w:szCs w:val="21"/>
              </w:rPr>
              <w:t>РРО</w:t>
            </w:r>
            <w:r w:rsidR="006A0E40">
              <w:rPr>
                <w:rFonts w:ascii="Times New Roman" w:eastAsia="Times New Roman" w:hAnsi="Times New Roman" w:cs="Times New Roman"/>
                <w:sz w:val="21"/>
                <w:szCs w:val="21"/>
              </w:rPr>
              <w:t>, вміст вологи</w:t>
            </w:r>
          </w:p>
        </w:tc>
      </w:tr>
      <w:tr w:rsidR="00B314BF" w:rsidRPr="00CF22AE" w:rsidTr="00A570B1">
        <w:trPr>
          <w:trHeight w:val="280"/>
        </w:trPr>
        <w:tc>
          <w:tcPr>
            <w:tcW w:w="2943" w:type="dxa"/>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tcBorders>
              <w:left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left w:val="nil"/>
              <w:bottom w:val="single" w:sz="4" w:space="0" w:color="auto"/>
              <w:right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rPr>
            </w:pPr>
          </w:p>
        </w:tc>
      </w:tr>
      <w:tr w:rsidR="00B314BF" w:rsidRPr="00CF22AE" w:rsidTr="00A570B1">
        <w:trPr>
          <w:trHeight w:val="280"/>
        </w:trPr>
        <w:tc>
          <w:tcPr>
            <w:tcW w:w="2943"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86912" behindDoc="0" locked="0" layoutInCell="1" allowOverlap="1" wp14:anchorId="575CAF03" wp14:editId="19B2EFAB">
                      <wp:simplePos x="0" y="0"/>
                      <wp:positionH relativeFrom="column">
                        <wp:posOffset>1765935</wp:posOffset>
                      </wp:positionH>
                      <wp:positionV relativeFrom="paragraph">
                        <wp:posOffset>254635</wp:posOffset>
                      </wp:positionV>
                      <wp:extent cx="176530" cy="0"/>
                      <wp:effectExtent l="0" t="76200" r="13970" b="95250"/>
                      <wp:wrapNone/>
                      <wp:docPr id="74" name="Пряма сполучна ліні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53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A4FD966" id="Пряма сполучна лінія 32" o:spid="_x0000_s1026" style="position:absolute;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9.05pt,20.05pt" to="152.95pt,2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vKZXQIAAG0EAAAOAAAAZHJzL2Uyb0RvYy54bWysVM1uEzEQviPxDpbv6WbTTZquuqlQNuFS&#10;oFLLAzi2N2vhtVe2m02EkEAcOPbWK6/AHQqvsPtGjJ0fWrggRA7O2DP+/M03M3t2vq4kWnFjhVYZ&#10;jo/6GHFFNRNqmeHX1/PeGCPriGJEasUzvOEWn0+ePjlr6pQPdKkl4wYBiLJpU2e4dK5Oo8jSklfE&#10;HumaK3AW2lTEwdYsI2ZIA+iVjAb9/ihqtGG10ZRbC6f51oknAb8oOHWvisJyh2SGgZsLqwnrwq/R&#10;5IykS0PqUtAdDfIPLCoiFDx6gMqJI+jGiD+gKkGNtrpwR1RXkS4KQXnIAbKJ+79lc1WSmodcQBxb&#10;H2Sy/w+WvlxdGiRYhk8SjBSpoEbt5+59d9t+a7+g7kP7o/3efu0+dp/aezgA86697+66W3Q88Oo1&#10;tU0BZKoujc+frtVVfaHpG4uUnpZELXnI4npTA3Lsb0SPrviNrYHDonmhGcSQG6eDlOvCVB4SRELr&#10;ULHNoWJ87RCFw/hkNDyGutK9KyLp/l5trHvOdYW8kWEplNeSpGR1YZ3nQdJ9iD9Wei6kDP0gFWoy&#10;fDocDMMFq6Vg3unDrFkuptKgFfEdFX4hKfA8DDP6RrEAVnLCZjvbESHBRi6o4YwAfSTH/rWKM4wk&#10;hyHy1paeVP5FyBUI76xtU7097Z/OxrNx0ksGo1kv6ed579l8mvRG8/hkmB/n02kev/Pk4yQtBWNc&#10;ef77Bo+Tv2ug3ahtW/PQ4gehosfoQVEgu/8PpEOxfX23nbLQbHNpfHa+7tDTIXg3f35oHu5D1K+v&#10;xOQnAAAA//8DAFBLAwQUAAYACAAAACEA09dY/+AAAAAJAQAADwAAAGRycy9kb3ducmV2LnhtbEyP&#10;TU/DMAyG70j8h8hI3FjS8VVK0wkhjcsGaB+a4Ja1pq1onCpJt/LvMeIAJ8v2o9eP89loO3FAH1pH&#10;GpKJAoFUuqqlWsN2M79IQYRoqDKdI9TwhQFmxelJbrLKHWmFh3WsBYdQyIyGJsY+kzKUDVoTJq5H&#10;4t2H89ZEbn0tK2+OHG47OVXqRlrTEl9oTI+PDZaf68FqWC3ni3S3GMbSvz8lL5vX5fNbSLU+Pxsf&#10;7kFEHOMfDD/6rA4FO+3dQFUQnYbpbZowquFKcWXgUl3fgdj/DmSRy/8fFN8AAAD//wMAUEsBAi0A&#10;FAAGAAgAAAAhALaDOJL+AAAA4QEAABMAAAAAAAAAAAAAAAAAAAAAAFtDb250ZW50X1R5cGVzXS54&#10;bWxQSwECLQAUAAYACAAAACEAOP0h/9YAAACUAQAACwAAAAAAAAAAAAAAAAAvAQAAX3JlbHMvLnJl&#10;bHNQSwECLQAUAAYACAAAACEAsJbymV0CAABtBAAADgAAAAAAAAAAAAAAAAAuAgAAZHJzL2Uyb0Rv&#10;Yy54bWxQSwECLQAUAAYACAAAACEA09dY/+AAAAAJAQAADwAAAAAAAAAAAAAAAAC3BAAAZHJzL2Rv&#10;d25yZXYueG1sUEsFBgAAAAAEAAQA8wAAAMQFAAAAAA==&#10;">
                      <v:stroke endarrow="block"/>
                    </v:line>
                  </w:pict>
                </mc:Fallback>
              </mc:AlternateContent>
            </w:r>
            <w:r w:rsidRPr="00CF22AE">
              <w:rPr>
                <w:rFonts w:ascii="Times New Roman" w:eastAsia="Times New Roman" w:hAnsi="Times New Roman" w:cs="Times New Roman"/>
                <w:sz w:val="21"/>
                <w:szCs w:val="21"/>
                <w:lang w:eastAsia="ru-RU"/>
              </w:rPr>
              <w:t>Із стадії 9</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449" w:type="dxa"/>
            <w:gridSpan w:val="2"/>
            <w:shd w:val="clear" w:color="auto" w:fill="A6A6A6" w:themeFill="background1" w:themeFillShade="A6"/>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91008" behindDoc="0" locked="0" layoutInCell="1" allowOverlap="1" wp14:anchorId="00A123FB" wp14:editId="40EDF1C8">
                      <wp:simplePos x="0" y="0"/>
                      <wp:positionH relativeFrom="column">
                        <wp:posOffset>2115185</wp:posOffset>
                      </wp:positionH>
                      <wp:positionV relativeFrom="paragraph">
                        <wp:posOffset>248920</wp:posOffset>
                      </wp:positionV>
                      <wp:extent cx="179070" cy="0"/>
                      <wp:effectExtent l="38100" t="76200" r="0" b="95250"/>
                      <wp:wrapNone/>
                      <wp:docPr id="75" name="Пряма сполучна ліні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907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6BF23FB" id="Пряма сполучна лінія 22" o:spid="_x0000_s1026" style="position:absolute;flip:x;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6.55pt,19.6pt" to="180.6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vnhRYwIAAHcEAAAOAAAAZHJzL2Uyb0RvYy54bWysVMFuEzEQvSPxD5bv6e6GpGlW3VQom8Ch&#10;QKWWD3DW3qyF17ZsN5sIIVFx4Nhbr/wCdyj8wu4fMXbStIULQuTgjD0zz29mnvf4ZF0LtGLGciUz&#10;nBzEGDFZKMrlMsNvL+a9I4ysI5ISoSTL8IZZfDJ5+uS40Snrq0oJygwCEGnTRme4ck6nUWSLitXE&#10;HijNJDhLZWriYGuWETWkAfRaRP04PowaZag2qmDWwmm+deJJwC9LVrg3ZWmZQyLDwM2F1YR14ddo&#10;ckzSpSG64sWOBvkHFjXhEi7dQ+XEEXRp+B9QNS+Msqp0B4WqI1WWvGChBqgmiX+r5rwimoVaoDlW&#10;79tk/x9s8Xp1ZhCnGR4NMZKkhhm1X7qP3XX7vf2Kuqv2Z/uj/dZ96j63t3AA5k17291016jf991r&#10;tE0BZCrPjK+/WMtzfaqKdxZJNa2IXLJQxcVGA3LiM6JHKX5jNXBYNK8UhRhy6VRo5bo0NSoF1y99&#10;ogeHdqF1mN1mPzu2dqiAw2Q0jkcw4eLOFZHUI/g8bax7wVSNvJFhwaXvKknJ6tQ6z+g+xB9LNedC&#10;BGUIiZoMj4f9YUiwSnDqnT7MmuViKgxaEa+t8AvlgedhmFGXkgawihE629mOcAE2cqEvznDolGDY&#10;31YzipFg8Jy8taUnpL8RagXCO2srr/fjeDw7mh0NeoP+4aw3iPO893w+HfQO58lomD/Lp9M8+eDJ&#10;J4O04pQy6fnfST0Z/J2Udo9uK9K92PeNih6jh44C2bv/QDqM3U96q5mFopsz46vzCgB1h+DdS/TP&#10;5+E+RN1/Lya/AAAA//8DAFBLAwQUAAYACAAAACEAuqz9Dt4AAAAJAQAADwAAAGRycy9kb3ducmV2&#10;LnhtbEyPTU/DMAyG70j8h8hI3FjaBSZWmk4IgcQJwYaQuGWNacsapyTZWvj1GHGAmz8evX5cribX&#10;iwOG2HnSkM8yEEi1tx01Gp43d2eXIGIyZE3vCTV8YoRVdXxUmsL6kZ7wsE6N4BCKhdHQpjQUUsa6&#10;RWfizA9IvHvzwZnEbWikDWbkcNfLeZYtpDMd8YXWDHjTYr1b752G5Wa88I9h93Kedx+vX7fvabh/&#10;SFqfnkzXVyASTukPhh99VoeKnbZ+TzaKXoNSKmeUi+UcBANqkSsQ29+BrEr5/4PqGwAA//8DAFBL&#10;AQItABQABgAIAAAAIQC2gziS/gAAAOEBAAATAAAAAAAAAAAAAAAAAAAAAABbQ29udGVudF9UeXBl&#10;c10ueG1sUEsBAi0AFAAGAAgAAAAhADj9If/WAAAAlAEAAAsAAAAAAAAAAAAAAAAALwEAAF9yZWxz&#10;Ly5yZWxzUEsBAi0AFAAGAAgAAAAhAFS+eFFjAgAAdwQAAA4AAAAAAAAAAAAAAAAALgIAAGRycy9l&#10;Mm9Eb2MueG1sUEsBAi0AFAAGAAgAAAAhALqs/Q7eAAAACQEAAA8AAAAAAAAAAAAAAAAAvQQAAGRy&#10;cy9kb3ducmV2LnhtbFBLBQYAAAAABAAEAPMAAADIBQAAAAA=&#10;">
                      <v:stroke endarrow="block"/>
                    </v:line>
                  </w:pict>
                </mc:Fallback>
              </mc:AlternateContent>
            </w:r>
            <w:r w:rsidRPr="00CF22AE">
              <w:rPr>
                <w:rFonts w:ascii="Times New Roman" w:eastAsia="Times New Roman" w:hAnsi="Times New Roman" w:cs="Times New Roman"/>
                <w:b/>
                <w:sz w:val="21"/>
                <w:szCs w:val="21"/>
                <w:lang w:eastAsia="ru-RU"/>
              </w:rPr>
              <w:t>Стадія 10</w:t>
            </w:r>
            <w:r w:rsidRPr="00CF22AE">
              <w:rPr>
                <w:rFonts w:ascii="Times New Roman" w:eastAsia="Times New Roman" w:hAnsi="Times New Roman" w:cs="Times New Roman"/>
                <w:sz w:val="21"/>
                <w:szCs w:val="21"/>
                <w:lang w:eastAsia="ru-RU"/>
              </w:rPr>
              <w:t xml:space="preserve"> Висушування та повторне гранулювання</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 xml:space="preserve">Сушильна шафа, гранулятор </w:t>
            </w:r>
          </w:p>
        </w:tc>
        <w:tc>
          <w:tcPr>
            <w:tcW w:w="236" w:type="dxa"/>
            <w:tcBorders>
              <w:top w:val="nil"/>
              <w:bottom w:val="nil"/>
            </w:tcBorders>
            <w:shd w:val="clear" w:color="auto" w:fill="auto"/>
          </w:tcPr>
          <w:p w:rsidR="00B314BF" w:rsidRPr="00CF22AE" w:rsidRDefault="00B314BF" w:rsidP="00A570B1">
            <w:pPr>
              <w:spacing w:after="0" w:line="240" w:lineRule="atLeast"/>
              <w:ind w:firstLine="709"/>
              <w:jc w:val="both"/>
              <w:rPr>
                <w:rFonts w:ascii="Times New Roman" w:eastAsia="Times New Roman" w:hAnsi="Times New Roman" w:cs="Times New Roman"/>
                <w:noProof/>
                <w:sz w:val="21"/>
                <w:szCs w:val="21"/>
                <w:lang w:eastAsia="uk-UA"/>
              </w:rPr>
            </w:pPr>
          </w:p>
        </w:tc>
        <w:tc>
          <w:tcPr>
            <w:tcW w:w="3806" w:type="dxa"/>
            <w:tcBorders>
              <w:bottom w:val="single" w:sz="4" w:space="0" w:color="auto"/>
            </w:tcBorders>
            <w:shd w:val="clear" w:color="auto" w:fill="A6A6A6" w:themeFill="background1" w:themeFillShade="A6"/>
          </w:tcPr>
          <w:p w:rsidR="00B314BF" w:rsidRPr="00CF22AE" w:rsidRDefault="00B314BF" w:rsidP="003E1E87">
            <w:pPr>
              <w:spacing w:after="0" w:line="240" w:lineRule="atLeast"/>
              <w:ind w:firstLine="709"/>
              <w:jc w:val="both"/>
              <w:rPr>
                <w:rFonts w:ascii="Times New Roman" w:eastAsia="Times New Roman" w:hAnsi="Times New Roman" w:cs="Times New Roman"/>
                <w:sz w:val="21"/>
                <w:szCs w:val="21"/>
              </w:rPr>
            </w:pPr>
            <w:r w:rsidRPr="00CF22AE">
              <w:rPr>
                <w:rFonts w:ascii="Times New Roman" w:eastAsia="Times New Roman" w:hAnsi="Times New Roman" w:cs="Times New Roman"/>
                <w:sz w:val="21"/>
                <w:szCs w:val="21"/>
              </w:rPr>
              <w:t xml:space="preserve">Температура висушування, маса, </w:t>
            </w:r>
            <w:r w:rsidR="003E1E87">
              <w:rPr>
                <w:rFonts w:ascii="Times New Roman" w:eastAsia="Times New Roman" w:hAnsi="Times New Roman" w:cs="Times New Roman"/>
                <w:sz w:val="21"/>
                <w:szCs w:val="21"/>
              </w:rPr>
              <w:t>РРО</w:t>
            </w:r>
            <w:r w:rsidRPr="00CF22AE">
              <w:rPr>
                <w:rFonts w:ascii="Times New Roman" w:eastAsia="Times New Roman" w:hAnsi="Times New Roman" w:cs="Times New Roman"/>
                <w:sz w:val="21"/>
                <w:szCs w:val="21"/>
              </w:rPr>
              <w:t>, крихкість гранул, розпадання</w:t>
            </w:r>
          </w:p>
        </w:tc>
      </w:tr>
      <w:tr w:rsidR="00B314BF" w:rsidRPr="00CF22AE" w:rsidTr="00A570B1">
        <w:trPr>
          <w:trHeight w:val="171"/>
        </w:trPr>
        <w:tc>
          <w:tcPr>
            <w:tcW w:w="2943" w:type="dxa"/>
            <w:tcBorders>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 xml:space="preserve">Пакування </w:t>
            </w:r>
          </w:p>
        </w:tc>
        <w:tc>
          <w:tcPr>
            <w:tcW w:w="236" w:type="dxa"/>
            <w:tcBorders>
              <w:top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nil"/>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nil"/>
              <w:left w:val="nil"/>
              <w:bottom w:val="single" w:sz="4" w:space="0" w:color="auto"/>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single" w:sz="4" w:space="0" w:color="auto"/>
              <w:bottom w:val="single" w:sz="4" w:space="0" w:color="auto"/>
            </w:tcBorders>
          </w:tcPr>
          <w:p w:rsidR="00B314BF" w:rsidRDefault="00B314BF" w:rsidP="006A0E40">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 xml:space="preserve">Гранули </w:t>
            </w:r>
            <w:r w:rsidR="006A0E40">
              <w:rPr>
                <w:rFonts w:ascii="Times New Roman" w:eastAsia="Times New Roman" w:hAnsi="Times New Roman" w:cs="Times New Roman"/>
                <w:sz w:val="21"/>
                <w:szCs w:val="21"/>
                <w:lang w:eastAsia="ru-RU"/>
              </w:rPr>
              <w:t>із стадії 10</w:t>
            </w:r>
          </w:p>
          <w:p w:rsidR="006A0E40" w:rsidRPr="00CF22AE" w:rsidRDefault="006A0E40" w:rsidP="006A0E40">
            <w:pPr>
              <w:spacing w:after="0" w:line="240" w:lineRule="atLeast"/>
              <w:ind w:firstLine="709"/>
              <w:jc w:val="both"/>
              <w:rPr>
                <w:rFonts w:ascii="Times New Roman" w:eastAsia="Times New Roman" w:hAnsi="Times New Roman" w:cs="Times New Roman"/>
                <w:sz w:val="21"/>
                <w:szCs w:val="21"/>
                <w:lang w:eastAsia="ru-RU"/>
              </w:rPr>
            </w:pPr>
            <w:r>
              <w:rPr>
                <w:rFonts w:ascii="Times New Roman" w:eastAsia="Times New Roman" w:hAnsi="Times New Roman" w:cs="Times New Roman"/>
                <w:sz w:val="21"/>
                <w:szCs w:val="21"/>
                <w:lang w:eastAsia="ru-RU"/>
              </w:rPr>
              <w:t>Пачки, коробки</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b/>
                <w:noProof/>
                <w:sz w:val="21"/>
                <w:szCs w:val="21"/>
                <w:lang w:eastAsia="uk-UA"/>
              </w:rPr>
              <mc:AlternateContent>
                <mc:Choice Requires="wps">
                  <w:drawing>
                    <wp:anchor distT="0" distB="0" distL="114300" distR="114300" simplePos="0" relativeHeight="251666432" behindDoc="0" locked="0" layoutInCell="1" allowOverlap="1" wp14:anchorId="036155D6" wp14:editId="482698F5">
                      <wp:simplePos x="0" y="0"/>
                      <wp:positionH relativeFrom="column">
                        <wp:posOffset>-68580</wp:posOffset>
                      </wp:positionH>
                      <wp:positionV relativeFrom="paragraph">
                        <wp:posOffset>104775</wp:posOffset>
                      </wp:positionV>
                      <wp:extent cx="146685" cy="0"/>
                      <wp:effectExtent l="0" t="76200" r="24765" b="95250"/>
                      <wp:wrapNone/>
                      <wp:docPr id="76" name="Пряма сполучна ліні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68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7E9759" id="Пряма сполучна лінія 76"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8.25pt" to="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l6XAIAAG0EAAAOAAAAZHJzL2Uyb0RvYy54bWysVM1uEzEQviPxDpbv6WbDJk1X3VQom3Ap&#10;UKnlARzbm7Xw2ivbzSZCSKAeOPbWK6/AHQqvsPtGjJ0fWrggRA7O2DPz+Ztvxnt6tq4kWnFjhVYZ&#10;jo/6GHFFNRNqmeE3V/PeGCPriGJEasUzvOEWn02ePjlt6pQPdKkl4wYBiLJpU2e4dK5Oo8jSklfE&#10;HumaK3AW2lTEwdYsI2ZIA+iVjAb9/ihqtGG10ZRbC6f51oknAb8oOHWvi8Jyh2SGgZsLqwnrwq/R&#10;5JSkS0PqUtAdDfIPLCoiFFx6gMqJI+jaiD+gKkGNtrpwR1RXkS4KQXmoAaqJ+79Vc1mSmodaQBxb&#10;H2Sy/w+WvlpdGCRYho9HGClSQY/az92H7rb91n5B3cf2R/u9/drddJ/aezgA86697+66WwQJoF5T&#10;2xRApurC+PrpWl3W55q+tUjpaUnUkocqrjY1IMc+I3qU4je2Bg6L5qVmEEOunQ5SrgtTeUgQCa1D&#10;xzaHjvG1QxQO42Q0Gg8xontXRNJ9Xm2se8F1hbyRYSmU15KkZHVunedB0n2IP1Z6LqQM8yAVajJ8&#10;MhwMQ4LVUjDv9GHWLBdTadCK+IkKv1AUeB6GGX2tWAArOWGzne2IkGAjF9RwRoA+kmN/W8UZRpLD&#10;I/LWlp5U/kaoFQjvrO1QvTvpn8zGs3HSSwajWS/p53nv+Xya9Ebz+HiYP8un0zx+78nHSVoKxrjy&#10;/PcDHid/N0C7p7YdzcOIH4SKHqMHRYHs/j+QDs32/d1OykKzzYXx1fm+w0yH4N3784/m4T5E/fpK&#10;TH4CAAD//wMAUEsDBBQABgAIAAAAIQC+IR+93QAAAAgBAAAPAAAAZHJzL2Rvd25yZXYueG1sTI9B&#10;S8NAFITvgv9heYK3dpOKJcRsigj10lppK6K31+wzCWbfht1NG/99t3jQ4zDDzDfFYjSdOJLzrWUF&#10;6TQBQVxZ3XKt4G2/nGQgfEDW2FkmBT/kYVFeXxWYa3viLR13oRaxhH2OCpoQ+lxKXzVk0E9tTxy9&#10;L+sMhihdLbXDUyw3nZwlyVwabDkuNNjTU0PV924wCrbr5Sp7Xw1j5T6f083+df3y4TOlbm/GxwcQ&#10;gcbwF4YLfkSHMjId7MDai07BJE0ieojG/B7EJTC7A3H41bIs5P8D5RkAAP//AwBQSwECLQAUAAYA&#10;CAAAACEAtoM4kv4AAADhAQAAEwAAAAAAAAAAAAAAAAAAAAAAW0NvbnRlbnRfVHlwZXNdLnhtbFBL&#10;AQItABQABgAIAAAAIQA4/SH/1gAAAJQBAAALAAAAAAAAAAAAAAAAAC8BAABfcmVscy8ucmVsc1BL&#10;AQItABQABgAIAAAAIQAsX/l6XAIAAG0EAAAOAAAAAAAAAAAAAAAAAC4CAABkcnMvZTJvRG9jLnht&#10;bFBLAQItABQABgAIAAAAIQC+IR+93QAAAAgBAAAPAAAAAAAAAAAAAAAAALYEAABkcnMvZG93bnJl&#10;di54bWxQSwUGAAAAAAQABADzAAAAwAUAAAAA&#10;">
                      <v:stroke endarrow="block"/>
                    </v:line>
                  </w:pict>
                </mc:Fallback>
              </mc:AlternateContent>
            </w:r>
          </w:p>
        </w:tc>
        <w:tc>
          <w:tcPr>
            <w:tcW w:w="3449" w:type="dxa"/>
            <w:gridSpan w:val="2"/>
            <w:tcBorders>
              <w:bottom w:val="single" w:sz="4" w:space="0" w:color="auto"/>
            </w:tcBorders>
          </w:tcPr>
          <w:p w:rsidR="008A4D93"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b/>
                <w:sz w:val="21"/>
                <w:szCs w:val="21"/>
                <w:lang w:eastAsia="ru-RU"/>
              </w:rPr>
              <w:t>Стадія 11</w:t>
            </w:r>
          </w:p>
          <w:p w:rsidR="00B314BF" w:rsidRPr="00CF22AE" w:rsidRDefault="006A0E40" w:rsidP="00A570B1">
            <w:pPr>
              <w:spacing w:after="0" w:line="240" w:lineRule="atLeast"/>
              <w:ind w:firstLine="709"/>
              <w:jc w:val="both"/>
              <w:rPr>
                <w:rFonts w:ascii="Times New Roman" w:eastAsia="Times New Roman" w:hAnsi="Times New Roman" w:cs="Times New Roman"/>
                <w:b/>
                <w:sz w:val="21"/>
                <w:szCs w:val="21"/>
                <w:lang w:eastAsia="ru-RU"/>
              </w:rPr>
            </w:pPr>
            <w:r>
              <w:rPr>
                <w:rFonts w:ascii="Times New Roman" w:eastAsia="Times New Roman" w:hAnsi="Times New Roman" w:cs="Times New Roman"/>
                <w:sz w:val="21"/>
                <w:szCs w:val="21"/>
                <w:lang w:eastAsia="ru-RU"/>
              </w:rPr>
              <w:t>Фасування гранул</w:t>
            </w:r>
          </w:p>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Автоматична лінія пакування</w:t>
            </w:r>
            <w:r w:rsidR="006A0E40">
              <w:rPr>
                <w:rFonts w:ascii="Times New Roman" w:eastAsia="Times New Roman" w:hAnsi="Times New Roman" w:cs="Times New Roman"/>
                <w:sz w:val="21"/>
                <w:szCs w:val="21"/>
                <w:lang w:eastAsia="ru-RU"/>
              </w:rPr>
              <w:t xml:space="preserve">, </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0288" behindDoc="0" locked="0" layoutInCell="1" allowOverlap="1" wp14:anchorId="0BC6BAE9" wp14:editId="61FD3032">
                      <wp:simplePos x="0" y="0"/>
                      <wp:positionH relativeFrom="column">
                        <wp:posOffset>-68476</wp:posOffset>
                      </wp:positionH>
                      <wp:positionV relativeFrom="paragraph">
                        <wp:posOffset>154271</wp:posOffset>
                      </wp:positionV>
                      <wp:extent cx="154304" cy="0"/>
                      <wp:effectExtent l="38100" t="76200" r="0" b="95250"/>
                      <wp:wrapNone/>
                      <wp:docPr id="77" name="Пряма сполучна ліні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4304"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44A94E" id="Пряма сполучна лінія 77" o:spid="_x0000_s1026" style="position:absolute;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12.15pt" to="6.7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7y4YwIAAHcEAAAOAAAAZHJzL2Uyb0RvYy54bWysVM1uEzEQviPxDpbv6e6mm/6suqlQNoFD&#10;gUotD+CsvVkLr23ZbjYRQgJx4Nhbr7wCdyi8wu4bMXbStIULQuTgjD0zn7+Z+bwnp6tGoCUzliuZ&#10;42QvxojJUlEuFzl+czkbHGFkHZGUCCVZjtfM4tPx0ycnrc7YUNVKUGYQgEibtTrHtXM6iyJb1qwh&#10;dk9pJsFZKdMQB1uziKghLaA3IhrG8UHUKkO1USWzFk6LjROPA35VsdK9rirLHBI5Bm4urCasc79G&#10;4xOSLQzRNS+3NMg/sGgIl3DpDqogjqArw/+AanhplFWV2ytVE6mq4iULNUA1SfxbNRc10SzUAs2x&#10;etcm+/9gy1fLc4M4zfHhIUaSNDCj7kv/ob/uvndfUf+x+9n96L71n/rP3S0cgHnT3fY3/TWCBOhe&#10;q20GIBN5bnz95Upe6DNVvrVIqklN5IKFKi7XGpATnxE9SvEbq4HDvH2pKMSQK6dCK1eVaVAluH7h&#10;Ez04tAutwuzWu9mxlUMlHCajdD9OMSrvXBHJPILP08a650w1yBs5Flz6rpKMLM+s84zuQ/yxVDMu&#10;RFCGkKjN8fFoOAoJVglOvdOHWbOYT4RBS+K1FX6hPPA8DDPqStIAVjNCp1vbES7ARi70xRkOnRIM&#10;+9saRjESDJ6Ttzb0hPQ3Qq1AeGtt5PXuOD6eHk2P0kE6PJgO0rgoBs9mk3RwMEsOR8V+MZkUyXtP&#10;PkmzmlPKpOd/J/Uk/TspbR/dRqQ7se8aFT1GDx0Fsnf/gXQYu5/0RjNzRdfnxlfnFQDqDsHbl+if&#10;z8N9iLr/Xox/AQAA//8DAFBLAwQUAAYACAAAACEAr9Uk+d4AAAAIAQAADwAAAGRycy9kb3ducmV2&#10;LnhtbEyPzU7DMBCE70i8g7VIvbVO+oMgxKkQaqWeELQIiZsbL0lovA72tgk8Pa44wHE0o5lv8uVg&#10;W3FCHxpHCtJJAgKpdKahSsHLbj2+ARFYk9GtI1TwhQGWxeVFrjPjenrG05YrEUsoZFpBzdxlUoay&#10;RqvDxHVI0Xt33mqO0lfSeN3HctvKaZJcS6sbigu17vChxvKwPVoFt7t+4Z784XWeNp9v36sP7jaP&#10;rNToari/A8E48F8YzvgRHYrItHdHMkG0CsZpEtFZwXQ+A3EOzBYg9r9aFrn8f6D4AQAA//8DAFBL&#10;AQItABQABgAIAAAAIQC2gziS/gAAAOEBAAATAAAAAAAAAAAAAAAAAAAAAABbQ29udGVudF9UeXBl&#10;c10ueG1sUEsBAi0AFAAGAAgAAAAhADj9If/WAAAAlAEAAAsAAAAAAAAAAAAAAAAALwEAAF9yZWxz&#10;Ly5yZWxzUEsBAi0AFAAGAAgAAAAhAM6bvLhjAgAAdwQAAA4AAAAAAAAAAAAAAAAALgIAAGRycy9l&#10;Mm9Eb2MueG1sUEsBAi0AFAAGAAgAAAAhAK/VJPneAAAACAEAAA8AAAAAAAAAAAAAAAAAvQQAAGRy&#10;cy9kb3ducmV2LnhtbFBLBQYAAAAABAAEAPMAAADIBQAAAAA=&#10;">
                      <v:stroke endarrow="block"/>
                    </v:line>
                  </w:pict>
                </mc:Fallback>
              </mc:AlternateContent>
            </w:r>
          </w:p>
        </w:tc>
        <w:tc>
          <w:tcPr>
            <w:tcW w:w="3806" w:type="dxa"/>
            <w:tcBorders>
              <w:bottom w:val="single" w:sz="4" w:space="0" w:color="auto"/>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Маса вмісту саше, цілісність упаковки, правильність друку</w:t>
            </w:r>
          </w:p>
        </w:tc>
      </w:tr>
      <w:tr w:rsidR="00B314BF" w:rsidRPr="00CF22AE" w:rsidTr="00A570B1">
        <w:tc>
          <w:tcPr>
            <w:tcW w:w="2943" w:type="dxa"/>
            <w:tcBorders>
              <w:top w:val="single" w:sz="4" w:space="0" w:color="auto"/>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tcBorders>
              <w:top w:val="single" w:sz="4" w:space="0" w:color="auto"/>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7456" behindDoc="0" locked="0" layoutInCell="1" allowOverlap="1" wp14:anchorId="492EC6CE" wp14:editId="228DA21B">
                      <wp:simplePos x="0" y="0"/>
                      <wp:positionH relativeFrom="column">
                        <wp:posOffset>959485</wp:posOffset>
                      </wp:positionH>
                      <wp:positionV relativeFrom="paragraph">
                        <wp:posOffset>21590</wp:posOffset>
                      </wp:positionV>
                      <wp:extent cx="7620" cy="112395"/>
                      <wp:effectExtent l="38100" t="0" r="68580" b="59055"/>
                      <wp:wrapNone/>
                      <wp:docPr id="78" name="Пряма сполучна ліні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1123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5E379B" id="Пряма сполучна лінія 78"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5.55pt,1.7pt" to="76.1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taWZQIAAHoEAAAOAAAAZHJzL2Uyb0RvYy54bWysVMFuEzEQvSPxD5bvyWbTJG1W3VQom8Ch&#10;QKWWD3DW3qyF17ZsJ5sIIVFx4Nhbr/wCdyj8wu4fMXbSlMIFIXJwxvbMmzczz3t6tqkEWjNjuZIp&#10;jrs9jJjMFeVymeI3V/POCUbWEUmJUJKleMssPps8fXJa64T1VakEZQYBiLRJrVNcOqeTKLJ5ySpi&#10;u0ozCZeFMhVxsDXLiBpSA3olon6vN4pqZag2KmfWwmm2u8STgF8ULHevi8Iyh0SKgZsLqwnrwq/R&#10;5JQkS0N0yfM9DfIPLCrCJSQ9QGXEEbQy/A+oiudGWVW4bq6qSBUFz1moAaqJe79Vc1kSzUIt0Byr&#10;D22y/w82f7W+MIjTFB/DpCSpYEbN5/ZDe9N8a76g9rr50XxvvrYf20/NHRyAedvctbftDYIA6F6t&#10;bQIgU3lhfP35Rl7qc5W/tUiqaUnkkoUqrrYakGMfET0K8RurgcOifqko+JCVU6GVm8JUqBBcv/CB&#10;HhzahTZhdtvD7NjGoRwOj0d9mG8OF3HcPxoPQyaSeBAfqo11z5mqkDdSLLj0jSUJWZ9b50k9uPhj&#10;qeZciCAOIVGd4vGwPwwBVglO/aV3s2a5mAqD1sTLK/z2eR+5GbWSNICVjNDZ3naEC7CRC61xhkOz&#10;BMM+W8UoRoLBi/LWjp6QPiOUC4T31k5h78a98exkdjLoDPqjWWfQy7LOs/l00BnN4+NhdpRNp1n8&#10;3pOPB0nJKWXS879Xezz4OzXt391Opwe9HxoVPUYPHQWy9/+BdJi8H/ZONgtFtxfGV+dFAAIPzvvH&#10;6F/Qr/vg9fDJmPwEAAD//wMAUEsDBBQABgAIAAAAIQAmEu/t3gAAAAgBAAAPAAAAZHJzL2Rvd25y&#10;ZXYueG1sTI/BTsMwEETvSPyDtUjcqJO0QRDiVAiBxAlBiyr15sZLEhqvg+02ga9ne4Lj7Ixm35TL&#10;yfbiiD50jhSkswQEUu1MR42C9/XT1Q2IEDUZ3TtCBd8YYFmdn5W6MG6kNzyuYiO4hEKhFbQxDoWU&#10;oW7R6jBzAxJ7H85bHVn6RhqvRy63vcyS5Fpa3RF/aPWADy3W+9XBKrhdj7l79fvNIu2+tj+Pn3F4&#10;folKXV5M93cgIk7xLwwnfEaHipl27kAmiJ51nqYcVTBfgDj5eTYHsVOQ8V1Wpfw/oPoFAAD//wMA&#10;UEsBAi0AFAAGAAgAAAAhALaDOJL+AAAA4QEAABMAAAAAAAAAAAAAAAAAAAAAAFtDb250ZW50X1R5&#10;cGVzXS54bWxQSwECLQAUAAYACAAAACEAOP0h/9YAAACUAQAACwAAAAAAAAAAAAAAAAAvAQAAX3Jl&#10;bHMvLnJlbHNQSwECLQAUAAYACAAAACEA3mbWlmUCAAB6BAAADgAAAAAAAAAAAAAAAAAuAgAAZHJz&#10;L2Uyb0RvYy54bWxQSwECLQAUAAYACAAAACEAJhLv7d4AAAAIAQAADwAAAAAAAAAAAAAAAAC/BAAA&#10;ZHJzL2Rvd25yZXYueG1sUEsFBgAAAAAEAAQA8wAAAMoFAAAAAA==&#10;">
                      <v:stroke endarrow="block"/>
                    </v:line>
                  </w:pict>
                </mc:Fallback>
              </mc:AlternateContent>
            </w:r>
          </w:p>
        </w:tc>
        <w:tc>
          <w:tcPr>
            <w:tcW w:w="236"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tcBorders>
              <w:top w:val="single" w:sz="4" w:space="0" w:color="auto"/>
              <w:left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r>
      <w:tr w:rsidR="00B314BF" w:rsidRPr="00CF22AE" w:rsidTr="00A570B1">
        <w:tc>
          <w:tcPr>
            <w:tcW w:w="2943" w:type="dxa"/>
            <w:tcBorders>
              <w:top w:val="nil"/>
              <w:left w:val="nil"/>
              <w:bottom w:val="nil"/>
              <w:right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236" w:type="dxa"/>
            <w:tcBorders>
              <w:top w:val="nil"/>
              <w:left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449" w:type="dxa"/>
            <w:gridSpan w:val="2"/>
            <w:shd w:val="clear" w:color="auto" w:fill="D9D9D9" w:themeFill="background1" w:themeFillShade="D9"/>
          </w:tcPr>
          <w:p w:rsidR="00B314BF" w:rsidRPr="00CF22AE" w:rsidRDefault="00B314BF" w:rsidP="00A570B1">
            <w:pPr>
              <w:spacing w:after="0" w:line="240" w:lineRule="atLeast"/>
              <w:ind w:firstLine="709"/>
              <w:jc w:val="both"/>
              <w:rPr>
                <w:rFonts w:ascii="Times New Roman" w:eastAsia="Times New Roman" w:hAnsi="Times New Roman" w:cs="Times New Roman"/>
                <w:b/>
                <w:sz w:val="21"/>
                <w:szCs w:val="21"/>
                <w:lang w:eastAsia="ru-RU"/>
              </w:rPr>
            </w:pPr>
            <w:r w:rsidRPr="00CF22AE">
              <w:rPr>
                <w:rFonts w:ascii="Times New Roman" w:eastAsia="Times New Roman" w:hAnsi="Times New Roman" w:cs="Times New Roman"/>
                <w:noProof/>
                <w:sz w:val="21"/>
                <w:szCs w:val="21"/>
                <w:lang w:eastAsia="uk-UA"/>
              </w:rPr>
              <mc:AlternateContent>
                <mc:Choice Requires="wps">
                  <w:drawing>
                    <wp:anchor distT="0" distB="0" distL="114300" distR="114300" simplePos="0" relativeHeight="251662336" behindDoc="0" locked="0" layoutInCell="1" allowOverlap="1" wp14:anchorId="2E90B469" wp14:editId="0065E861">
                      <wp:simplePos x="0" y="0"/>
                      <wp:positionH relativeFrom="column">
                        <wp:posOffset>2105163</wp:posOffset>
                      </wp:positionH>
                      <wp:positionV relativeFrom="paragraph">
                        <wp:posOffset>51898</wp:posOffset>
                      </wp:positionV>
                      <wp:extent cx="170831" cy="0"/>
                      <wp:effectExtent l="38100" t="76200" r="0" b="95250"/>
                      <wp:wrapNone/>
                      <wp:docPr id="80" name="Пряма сполучна ліні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0831"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FAD581" id="Пряма сполучна лінія 80" o:spid="_x0000_s1026" style="position:absolute;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75pt,4.1pt" to="179.2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B/eYgIAAHcEAAAOAAAAZHJzL2Uyb0RvYy54bWysVMFuEzEQvSPxD5bvye6mSZuuuqlQNoFD&#10;gUotH+CsvVkLr23ZbjYRQgJx4Nhbr/wCdyj8wu4fMXbStIULQuTgjD0zz2/ejPfkdF0LtGLGciUz&#10;nPRjjJgsFOVymeE3l/PeGCPriKREKMkyvGEWn06ePjlpdMoGqlKCMoMARNq00RmunNNpFNmiYjWx&#10;faWZBGepTE0cbM0yooY0gF6LaBDHh1GjDNVGFcxaOM23TjwJ+GXJCve6LC1zSGQYuLmwmrAu/BpN&#10;Tki6NERXvNjRIP/AoiZcwqV7qJw4gq4M/wOq5oVRVpWuX6g6UmXJCxZqgGqS+LdqLiqiWagFxLF6&#10;L5P9f7DFq9W5QZxmeAzySFJDj9ov3Yfuuv3efkXdx/Zn+6P91n3qPre3cADmTXvb3XTXCBJAvUbb&#10;FECm8tz4+ou1vNBnqnhrkVTTisglC1VcbjQgJz4jepTiN1YDh0XzUlGIIVdOBSnXpalRKbh+4RM9&#10;OMiF1qF3m33v2NqhAg6To3h8kGBU3LkiknoEn6eNdc+ZqpE3Miy49KqSlKzOrPOM7kP8sVRzLkSY&#10;DCFRk+Hj0WAUEqwSnHqnD7NmuZgKg1bEz1b4hfLA8zDMqCtJA1jFCJ3tbEe4ABu5oIszHJQSDPvb&#10;akYxEgyek7e29IT0N0KtQHhnbcfr3XF8PBvPxsPecHA46w3jPO89m0+HvcN5cjTKD/LpNE/ee/LJ&#10;MK04pUx6/nejngz/bpR2j247pPth3wsVPUYPigLZu/9AOrTdd3o7MwtFN+fGV+cnAKY7BO9eon8+&#10;D/ch6v57MfkFAAD//wMAUEsDBBQABgAIAAAAIQAKJCz03gAAAAcBAAAPAAAAZHJzL2Rvd25yZXYu&#10;eG1sTI7LTsMwFET3SP0H61ZiR500DQohTlUhkFgh+lAldm58SdLG18F2m8DXY9jAcjSjM6dYjrpj&#10;F7SuNSQgnkXAkCqjWqoF7LZPNxkw5yUp2RlCAZ/oYFlOrgqZKzPQGi8bX7MAIZdLAY33fc65qxrU&#10;0s1MjxS6d2O19CHamisrhwDXHZ9H0S3XsqXw0MgeHxqsTpuzFnC3HVLzak/7Rdx+vH09Hn3//OKF&#10;uJ6Oq3tgHkf/N4Yf/aAOZXA6mDMpxzoBSRKnYSogmwMLfZJmC2CH38zLgv/3L78BAAD//wMAUEsB&#10;Ai0AFAAGAAgAAAAhALaDOJL+AAAA4QEAABMAAAAAAAAAAAAAAAAAAAAAAFtDb250ZW50X1R5cGVz&#10;XS54bWxQSwECLQAUAAYACAAAACEAOP0h/9YAAACUAQAACwAAAAAAAAAAAAAAAAAvAQAAX3JlbHMv&#10;LnJlbHNQSwECLQAUAAYACAAAACEAq8gf3mICAAB3BAAADgAAAAAAAAAAAAAAAAAuAgAAZHJzL2Uy&#10;b0RvYy54bWxQSwECLQAUAAYACAAAACEACiQs9N4AAAAHAQAADwAAAAAAAAAAAAAAAAC8BAAAZHJz&#10;L2Rvd25yZXYueG1sUEsFBgAAAAAEAAQA8wAAAMcFAAAAAA==&#10;">
                      <v:stroke endarrow="block"/>
                    </v:line>
                  </w:pict>
                </mc:Fallback>
              </mc:AlternateContent>
            </w:r>
            <w:r w:rsidRPr="00CF22AE">
              <w:rPr>
                <w:rFonts w:ascii="Times New Roman" w:eastAsia="Times New Roman" w:hAnsi="Times New Roman" w:cs="Times New Roman"/>
                <w:b/>
                <w:sz w:val="21"/>
                <w:szCs w:val="21"/>
                <w:lang w:eastAsia="ru-RU"/>
              </w:rPr>
              <w:t>Готова продукція</w:t>
            </w:r>
          </w:p>
        </w:tc>
        <w:tc>
          <w:tcPr>
            <w:tcW w:w="236" w:type="dxa"/>
            <w:tcBorders>
              <w:top w:val="nil"/>
              <w:bottom w:val="nil"/>
            </w:tcBorders>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p>
        </w:tc>
        <w:tc>
          <w:tcPr>
            <w:tcW w:w="3806" w:type="dxa"/>
            <w:shd w:val="clear" w:color="auto" w:fill="D9D9D9" w:themeFill="background1" w:themeFillShade="D9"/>
          </w:tcPr>
          <w:p w:rsidR="00B314BF" w:rsidRPr="00CF22AE" w:rsidRDefault="00B314BF" w:rsidP="00A570B1">
            <w:pPr>
              <w:spacing w:after="0" w:line="240" w:lineRule="atLeast"/>
              <w:ind w:firstLine="709"/>
              <w:jc w:val="both"/>
              <w:rPr>
                <w:rFonts w:ascii="Times New Roman" w:eastAsia="Times New Roman" w:hAnsi="Times New Roman" w:cs="Times New Roman"/>
                <w:sz w:val="21"/>
                <w:szCs w:val="21"/>
                <w:lang w:eastAsia="ru-RU"/>
              </w:rPr>
            </w:pPr>
            <w:r w:rsidRPr="00CF22AE">
              <w:rPr>
                <w:rFonts w:ascii="Times New Roman" w:eastAsia="Times New Roman" w:hAnsi="Times New Roman" w:cs="Times New Roman"/>
                <w:sz w:val="21"/>
                <w:szCs w:val="21"/>
                <w:lang w:eastAsia="ru-RU"/>
              </w:rPr>
              <w:t>Контроль якості</w:t>
            </w:r>
            <w:r w:rsidR="003E1E87">
              <w:rPr>
                <w:rFonts w:ascii="Times New Roman" w:eastAsia="Times New Roman" w:hAnsi="Times New Roman" w:cs="Times New Roman"/>
                <w:sz w:val="21"/>
                <w:szCs w:val="21"/>
                <w:lang w:eastAsia="ru-RU"/>
              </w:rPr>
              <w:t xml:space="preserve"> </w:t>
            </w:r>
            <w:r w:rsidR="006A0E40">
              <w:rPr>
                <w:rFonts w:ascii="Times New Roman" w:eastAsia="Times New Roman" w:hAnsi="Times New Roman" w:cs="Times New Roman"/>
                <w:sz w:val="21"/>
                <w:szCs w:val="21"/>
                <w:lang w:eastAsia="ru-RU"/>
              </w:rPr>
              <w:t xml:space="preserve"> ГП</w:t>
            </w:r>
          </w:p>
        </w:tc>
      </w:tr>
    </w:tbl>
    <w:p w:rsidR="00B314BF" w:rsidRPr="00CF22AE" w:rsidRDefault="00B314BF" w:rsidP="00B314BF">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B10676" w:rsidRPr="007B03C3" w:rsidRDefault="001B4373" w:rsidP="001B4373">
      <w:pPr>
        <w:pStyle w:val="a3"/>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4"/>
          <w:lang w:eastAsia="ru-RU"/>
        </w:rPr>
        <w:t xml:space="preserve">Рисунок 3. 29  </w:t>
      </w:r>
      <w:r>
        <w:rPr>
          <w:rFonts w:ascii="Times New Roman" w:eastAsia="Times New Roman" w:hAnsi="Times New Roman" w:cs="Times New Roman"/>
          <w:sz w:val="28"/>
          <w:szCs w:val="28"/>
        </w:rPr>
        <w:t>–</w:t>
      </w:r>
      <w:r w:rsidR="00B10676">
        <w:rPr>
          <w:rFonts w:ascii="Times New Roman" w:eastAsia="Times New Roman" w:hAnsi="Times New Roman" w:cs="Times New Roman"/>
          <w:sz w:val="28"/>
          <w:szCs w:val="24"/>
          <w:lang w:eastAsia="ru-RU"/>
        </w:rPr>
        <w:t xml:space="preserve"> </w:t>
      </w:r>
      <w:r w:rsidR="00B10676" w:rsidRPr="00CF22AE">
        <w:rPr>
          <w:rFonts w:ascii="Times New Roman" w:eastAsia="Times New Roman" w:hAnsi="Times New Roman" w:cs="Times New Roman"/>
          <w:sz w:val="28"/>
          <w:szCs w:val="24"/>
          <w:lang w:eastAsia="ru-RU"/>
        </w:rPr>
        <w:t xml:space="preserve">Технологічна схема виробництва гранул на основі </w:t>
      </w:r>
      <w:r w:rsidR="00425F43">
        <w:rPr>
          <w:rFonts w:ascii="Times New Roman" w:eastAsia="Times New Roman" w:hAnsi="Times New Roman" w:cs="Times New Roman"/>
          <w:sz w:val="28"/>
          <w:szCs w:val="24"/>
          <w:lang w:eastAsia="ru-RU"/>
        </w:rPr>
        <w:t>ФППТ</w:t>
      </w: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Отже, в ході проведення досліджень було встановлено оптимальний склад гранул, вивчено кількість ДР, які покращують показники якості отриманих гранул на основі </w:t>
      </w:r>
      <w:r w:rsidR="00425F43">
        <w:rPr>
          <w:rFonts w:ascii="Times New Roman" w:eastAsia="Times New Roman" w:hAnsi="Times New Roman" w:cs="Times New Roman"/>
          <w:sz w:val="28"/>
          <w:szCs w:val="28"/>
        </w:rPr>
        <w:t>ФППТ</w:t>
      </w:r>
      <w:r w:rsidRPr="00CF22AE">
        <w:rPr>
          <w:rFonts w:ascii="Times New Roman" w:eastAsia="Times New Roman" w:hAnsi="Times New Roman" w:cs="Times New Roman"/>
          <w:sz w:val="28"/>
          <w:szCs w:val="28"/>
        </w:rPr>
        <w:t>. Досліджено показники якості гранул, які отримані згідно оптимальної кількості ДР.</w:t>
      </w:r>
    </w:p>
    <w:p w:rsidR="00425A08" w:rsidRPr="00CF22AE" w:rsidRDefault="00425A08" w:rsidP="00DB7D0E">
      <w:pPr>
        <w:pStyle w:val="a3"/>
        <w:numPr>
          <w:ilvl w:val="0"/>
          <w:numId w:val="16"/>
        </w:numPr>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маса втрати при висушуванні </w:t>
      </w:r>
      <w:r w:rsidR="003E1E87">
        <w:rPr>
          <w:rFonts w:ascii="Times New Roman" w:eastAsia="Times New Roman" w:hAnsi="Times New Roman" w:cs="Times New Roman"/>
          <w:sz w:val="28"/>
          <w:szCs w:val="28"/>
        </w:rPr>
        <w:t>–</w:t>
      </w:r>
      <w:r w:rsidRPr="00CF22AE">
        <w:rPr>
          <w:rFonts w:ascii="Times New Roman" w:eastAsia="Times New Roman" w:hAnsi="Times New Roman" w:cs="Times New Roman"/>
          <w:sz w:val="28"/>
          <w:szCs w:val="28"/>
        </w:rPr>
        <w:t xml:space="preserve"> </w:t>
      </w:r>
      <w:r w:rsidR="003538B9">
        <w:rPr>
          <w:rFonts w:ascii="Times New Roman" w:eastAsia="Times New Roman" w:hAnsi="Times New Roman" w:cs="Times New Roman"/>
          <w:sz w:val="28"/>
          <w:szCs w:val="28"/>
        </w:rPr>
        <w:t>0,24 г</w:t>
      </w:r>
    </w:p>
    <w:p w:rsidR="00425A08" w:rsidRPr="00CF22AE" w:rsidRDefault="00425A08" w:rsidP="00DB7D0E">
      <w:pPr>
        <w:pStyle w:val="a3"/>
        <w:numPr>
          <w:ilvl w:val="0"/>
          <w:numId w:val="16"/>
        </w:numPr>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текучість маси для таблетування –</w:t>
      </w:r>
      <w:r w:rsidR="003538B9">
        <w:rPr>
          <w:rFonts w:ascii="Times New Roman" w:eastAsia="Times New Roman" w:hAnsi="Times New Roman" w:cs="Times New Roman"/>
          <w:sz w:val="28"/>
          <w:szCs w:val="28"/>
        </w:rPr>
        <w:t xml:space="preserve"> 5,96 г/с</w:t>
      </w:r>
    </w:p>
    <w:p w:rsidR="00425A08" w:rsidRPr="00CF22AE" w:rsidRDefault="00425A08" w:rsidP="00DB7D0E">
      <w:pPr>
        <w:pStyle w:val="a3"/>
        <w:numPr>
          <w:ilvl w:val="0"/>
          <w:numId w:val="16"/>
        </w:numPr>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розпадання – </w:t>
      </w:r>
      <w:r w:rsidR="003538B9">
        <w:rPr>
          <w:rFonts w:ascii="Times New Roman" w:eastAsia="Times New Roman" w:hAnsi="Times New Roman" w:cs="Times New Roman"/>
          <w:sz w:val="28"/>
          <w:szCs w:val="28"/>
        </w:rPr>
        <w:t xml:space="preserve"> 34,87 с</w:t>
      </w:r>
    </w:p>
    <w:p w:rsidR="00425A08" w:rsidRPr="00CF22AE" w:rsidRDefault="001A4761" w:rsidP="00DB7D0E">
      <w:pPr>
        <w:pStyle w:val="a3"/>
        <w:numPr>
          <w:ilvl w:val="0"/>
          <w:numId w:val="16"/>
        </w:numPr>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 xml:space="preserve">крихкість гранул </w:t>
      </w:r>
      <w:r w:rsidR="00425A08" w:rsidRPr="00CF22AE">
        <w:rPr>
          <w:rFonts w:ascii="Times New Roman" w:eastAsia="Times New Roman" w:hAnsi="Times New Roman" w:cs="Times New Roman"/>
          <w:sz w:val="28"/>
          <w:szCs w:val="28"/>
        </w:rPr>
        <w:t xml:space="preserve">– </w:t>
      </w:r>
      <w:r w:rsidR="003538B9">
        <w:rPr>
          <w:rFonts w:ascii="Times New Roman" w:eastAsia="Times New Roman" w:hAnsi="Times New Roman" w:cs="Times New Roman"/>
          <w:sz w:val="28"/>
          <w:szCs w:val="28"/>
        </w:rPr>
        <w:t>1,47%</w:t>
      </w:r>
    </w:p>
    <w:p w:rsidR="00425A08" w:rsidRPr="00CF22AE" w:rsidRDefault="00425A08" w:rsidP="00DB7D0E">
      <w:pPr>
        <w:pStyle w:val="a3"/>
        <w:spacing w:line="360" w:lineRule="auto"/>
        <w:ind w:firstLine="709"/>
        <w:jc w:val="both"/>
        <w:rPr>
          <w:rFonts w:ascii="Times New Roman" w:eastAsia="Times New Roman" w:hAnsi="Times New Roman" w:cs="Times New Roman"/>
          <w:i/>
          <w:sz w:val="28"/>
          <w:szCs w:val="28"/>
        </w:rPr>
      </w:pPr>
    </w:p>
    <w:p w:rsidR="00425A08"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i/>
          <w:sz w:val="28"/>
          <w:szCs w:val="28"/>
        </w:rPr>
        <w:t xml:space="preserve">Результати експериментальних досліджень даного розділу наведено в таких публікаціях: </w:t>
      </w:r>
      <w:r w:rsidRPr="00CF22AE">
        <w:rPr>
          <w:rFonts w:ascii="Times New Roman" w:eastAsia="Times New Roman" w:hAnsi="Times New Roman" w:cs="Times New Roman"/>
          <w:sz w:val="28"/>
          <w:szCs w:val="28"/>
        </w:rPr>
        <w:t>[</w:t>
      </w:r>
      <w:r w:rsidR="003538B9">
        <w:rPr>
          <w:rFonts w:ascii="Times New Roman" w:eastAsia="Times New Roman" w:hAnsi="Times New Roman" w:cs="Times New Roman"/>
          <w:sz w:val="28"/>
          <w:szCs w:val="28"/>
        </w:rPr>
        <w:t>50,51</w:t>
      </w:r>
      <w:r w:rsidRPr="00CF22AE">
        <w:rPr>
          <w:rFonts w:ascii="Times New Roman" w:eastAsia="Times New Roman" w:hAnsi="Times New Roman" w:cs="Times New Roman"/>
          <w:sz w:val="28"/>
          <w:szCs w:val="28"/>
        </w:rPr>
        <w:t xml:space="preserve">]. </w:t>
      </w:r>
    </w:p>
    <w:p w:rsidR="007B03C3" w:rsidRDefault="007B03C3" w:rsidP="00DB7D0E">
      <w:pPr>
        <w:pStyle w:val="a3"/>
        <w:spacing w:line="360" w:lineRule="auto"/>
        <w:ind w:firstLine="709"/>
        <w:jc w:val="both"/>
        <w:rPr>
          <w:rFonts w:ascii="Times New Roman" w:eastAsia="Times New Roman" w:hAnsi="Times New Roman" w:cs="Times New Roman"/>
          <w:sz w:val="28"/>
          <w:szCs w:val="28"/>
        </w:rPr>
      </w:pPr>
    </w:p>
    <w:p w:rsidR="00425A08" w:rsidRPr="00CF22AE" w:rsidRDefault="00425A08" w:rsidP="00DB7D0E">
      <w:pPr>
        <w:pStyle w:val="a3"/>
        <w:spacing w:line="360" w:lineRule="auto"/>
        <w:ind w:firstLine="709"/>
        <w:jc w:val="both"/>
        <w:rPr>
          <w:rFonts w:ascii="Times New Roman" w:eastAsia="Times New Roman" w:hAnsi="Times New Roman" w:cs="Times New Roman"/>
          <w:sz w:val="28"/>
          <w:szCs w:val="28"/>
        </w:rPr>
      </w:pPr>
      <w:bookmarkStart w:id="2" w:name="_Toc100315033"/>
    </w:p>
    <w:p w:rsidR="00425A08" w:rsidRDefault="00425A08" w:rsidP="00DB7D0E">
      <w:pPr>
        <w:pStyle w:val="a3"/>
        <w:spacing w:line="360" w:lineRule="auto"/>
        <w:ind w:firstLine="709"/>
        <w:jc w:val="both"/>
        <w:rPr>
          <w:rFonts w:ascii="Times New Roman" w:eastAsia="Times New Roman" w:hAnsi="Times New Roman" w:cs="Times New Roman"/>
          <w:sz w:val="28"/>
          <w:szCs w:val="28"/>
        </w:rPr>
      </w:pPr>
      <w:r w:rsidRPr="00CF22AE">
        <w:rPr>
          <w:rFonts w:ascii="Times New Roman" w:eastAsia="Times New Roman" w:hAnsi="Times New Roman" w:cs="Times New Roman"/>
          <w:sz w:val="28"/>
          <w:szCs w:val="28"/>
        </w:rPr>
        <w:t>Висновки до розділу 3</w:t>
      </w:r>
      <w:bookmarkEnd w:id="2"/>
    </w:p>
    <w:p w:rsidR="000634C0" w:rsidRPr="000634C0" w:rsidRDefault="000634C0" w:rsidP="000634C0">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 xml:space="preserve">1. Проведений аналіз асортименту </w:t>
      </w:r>
      <w:r>
        <w:rPr>
          <w:rFonts w:ascii="Times New Roman" w:eastAsia="Times New Roman" w:hAnsi="Times New Roman" w:cs="Times New Roman"/>
          <w:sz w:val="28"/>
          <w:szCs w:val="28"/>
        </w:rPr>
        <w:t xml:space="preserve">гепатопротекторних ЛЗ на основі </w:t>
      </w:r>
      <w:r w:rsidRPr="000634C0">
        <w:rPr>
          <w:rFonts w:ascii="Times New Roman" w:eastAsia="Times New Roman" w:hAnsi="Times New Roman" w:cs="Times New Roman"/>
          <w:sz w:val="28"/>
          <w:szCs w:val="28"/>
        </w:rPr>
        <w:t>рослинної сировини та встановлено, що в</w:t>
      </w:r>
      <w:r>
        <w:rPr>
          <w:rFonts w:ascii="Times New Roman" w:eastAsia="Times New Roman" w:hAnsi="Times New Roman" w:cs="Times New Roman"/>
          <w:sz w:val="28"/>
          <w:szCs w:val="28"/>
        </w:rPr>
        <w:t xml:space="preserve"> Україні станом на жовтень 2022</w:t>
      </w:r>
      <w:r w:rsidRPr="000634C0">
        <w:rPr>
          <w:rFonts w:ascii="Times New Roman" w:eastAsia="Times New Roman" w:hAnsi="Times New Roman" w:cs="Times New Roman"/>
          <w:sz w:val="28"/>
          <w:szCs w:val="28"/>
        </w:rPr>
        <w:t>р.</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група протизапальних фітопрепаратів вітчизняного виробництва налічує 161</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зареєстровану ТН, більшість з них – ба</w:t>
      </w:r>
      <w:r>
        <w:rPr>
          <w:rFonts w:ascii="Times New Roman" w:eastAsia="Times New Roman" w:hAnsi="Times New Roman" w:cs="Times New Roman"/>
          <w:sz w:val="28"/>
          <w:szCs w:val="28"/>
        </w:rPr>
        <w:t xml:space="preserve">гатокомпонентні ЛЗ, частка яких </w:t>
      </w:r>
      <w:r w:rsidRPr="000634C0">
        <w:rPr>
          <w:rFonts w:ascii="Times New Roman" w:eastAsia="Times New Roman" w:hAnsi="Times New Roman" w:cs="Times New Roman"/>
          <w:sz w:val="28"/>
          <w:szCs w:val="28"/>
        </w:rPr>
        <w:t>становить 48 %. Серед усіх ЛФ трав’я</w:t>
      </w:r>
      <w:r>
        <w:rPr>
          <w:rFonts w:ascii="Times New Roman" w:eastAsia="Times New Roman" w:hAnsi="Times New Roman" w:cs="Times New Roman"/>
          <w:sz w:val="28"/>
          <w:szCs w:val="28"/>
        </w:rPr>
        <w:t xml:space="preserve">ні збори займають 30,5 % і вони </w:t>
      </w:r>
      <w:r w:rsidRPr="000634C0">
        <w:rPr>
          <w:rFonts w:ascii="Times New Roman" w:eastAsia="Times New Roman" w:hAnsi="Times New Roman" w:cs="Times New Roman"/>
          <w:sz w:val="28"/>
          <w:szCs w:val="28"/>
        </w:rPr>
        <w:t>представлені лише вітчизняними виробниками. ЛЗ у формі крапель оральних</w:t>
      </w:r>
      <w:r w:rsidR="007777B7">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та таблеток розділяють друге місце та їх частка сумарно становить 33,3 %.</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Серед вітчизняних виробників лідером за номенклатурою фітопрепаратів є</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ПрАТ «Ліктрави».</w:t>
      </w:r>
    </w:p>
    <w:p w:rsidR="000634C0" w:rsidRPr="000634C0" w:rsidRDefault="000634C0" w:rsidP="000634C0">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2. Досліджено фармако-технологі</w:t>
      </w:r>
      <w:r>
        <w:rPr>
          <w:rFonts w:ascii="Times New Roman" w:eastAsia="Times New Roman" w:hAnsi="Times New Roman" w:cs="Times New Roman"/>
          <w:sz w:val="28"/>
          <w:szCs w:val="28"/>
        </w:rPr>
        <w:t xml:space="preserve">чні властивості ФППТ. На основі </w:t>
      </w:r>
      <w:r w:rsidRPr="000634C0">
        <w:rPr>
          <w:rFonts w:ascii="Times New Roman" w:eastAsia="Times New Roman" w:hAnsi="Times New Roman" w:cs="Times New Roman"/>
          <w:sz w:val="28"/>
          <w:szCs w:val="28"/>
        </w:rPr>
        <w:t>одержаних результатів здійснено вибір допоміжних речовин для одержання</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гранул.</w:t>
      </w:r>
    </w:p>
    <w:p w:rsidR="000634C0" w:rsidRPr="000634C0" w:rsidRDefault="000634C0" w:rsidP="000634C0">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3. За допомогою 3х3 греко-латинського квадрату встановлено вплив 9 Д</w:t>
      </w:r>
      <w:r>
        <w:rPr>
          <w:rFonts w:ascii="Times New Roman" w:eastAsia="Times New Roman" w:hAnsi="Times New Roman" w:cs="Times New Roman"/>
          <w:sz w:val="28"/>
          <w:szCs w:val="28"/>
        </w:rPr>
        <w:t xml:space="preserve">Р </w:t>
      </w:r>
      <w:r w:rsidRPr="000634C0">
        <w:rPr>
          <w:rFonts w:ascii="Times New Roman" w:eastAsia="Times New Roman" w:hAnsi="Times New Roman" w:cs="Times New Roman"/>
          <w:sz w:val="28"/>
          <w:szCs w:val="28"/>
        </w:rPr>
        <w:t>на основні фармако-технологічні показники гранул на основі ФППТ. Обрано</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кращі ДР для розробки складу і технології гранул: МКЦ 200 + лактоза (1:1),</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неусілін US 2, крохмаль прежелатинізований.</w:t>
      </w:r>
    </w:p>
    <w:p w:rsidR="000634C0" w:rsidRPr="000634C0" w:rsidRDefault="000634C0" w:rsidP="00F27CFD">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4. За допомогою методу ви</w:t>
      </w:r>
      <w:r>
        <w:rPr>
          <w:rFonts w:ascii="Times New Roman" w:eastAsia="Times New Roman" w:hAnsi="Times New Roman" w:cs="Times New Roman"/>
          <w:sz w:val="28"/>
          <w:szCs w:val="28"/>
        </w:rPr>
        <w:t xml:space="preserve">падкового балансу побудовано та </w:t>
      </w:r>
      <w:r w:rsidRPr="000634C0">
        <w:rPr>
          <w:rFonts w:ascii="Times New Roman" w:eastAsia="Times New Roman" w:hAnsi="Times New Roman" w:cs="Times New Roman"/>
          <w:sz w:val="28"/>
          <w:szCs w:val="28"/>
        </w:rPr>
        <w:t>проаналізувано діаграми розсіювання, які дозволили оптимізувати склад гранул</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на основі ФППТ. Розроблено оптимальн</w:t>
      </w:r>
      <w:r>
        <w:rPr>
          <w:rFonts w:ascii="Times New Roman" w:eastAsia="Times New Roman" w:hAnsi="Times New Roman" w:cs="Times New Roman"/>
          <w:sz w:val="28"/>
          <w:szCs w:val="28"/>
        </w:rPr>
        <w:t xml:space="preserve">ий склад гранул на основі ФППТ: </w:t>
      </w:r>
      <w:r w:rsidRPr="000634C0">
        <w:rPr>
          <w:rFonts w:ascii="Times New Roman" w:eastAsia="Times New Roman" w:hAnsi="Times New Roman" w:cs="Times New Roman"/>
          <w:sz w:val="28"/>
          <w:szCs w:val="28"/>
        </w:rPr>
        <w:t>0,625 г – ФППТ; 1,75 г – МКЦ 200; 1,75</w:t>
      </w:r>
      <w:r>
        <w:rPr>
          <w:rFonts w:ascii="Times New Roman" w:eastAsia="Times New Roman" w:hAnsi="Times New Roman" w:cs="Times New Roman"/>
          <w:sz w:val="28"/>
          <w:szCs w:val="28"/>
        </w:rPr>
        <w:t xml:space="preserve"> г – лактози; 0,75 г – крохмалю </w:t>
      </w:r>
      <w:r w:rsidRPr="000634C0">
        <w:rPr>
          <w:rFonts w:ascii="Times New Roman" w:eastAsia="Times New Roman" w:hAnsi="Times New Roman" w:cs="Times New Roman"/>
          <w:sz w:val="28"/>
          <w:szCs w:val="28"/>
        </w:rPr>
        <w:t>прежелатинізовного; 0,05 г - неусілін US 2;</w:t>
      </w:r>
    </w:p>
    <w:p w:rsidR="000634C0" w:rsidRPr="000634C0" w:rsidRDefault="000634C0" w:rsidP="00F27CFD">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5. За допомогою спектрофотометричног</w:t>
      </w:r>
      <w:r>
        <w:rPr>
          <w:rFonts w:ascii="Times New Roman" w:eastAsia="Times New Roman" w:hAnsi="Times New Roman" w:cs="Times New Roman"/>
          <w:sz w:val="28"/>
          <w:szCs w:val="28"/>
        </w:rPr>
        <w:t xml:space="preserve">о методу встановлено кількісний </w:t>
      </w:r>
      <w:r w:rsidRPr="000634C0">
        <w:rPr>
          <w:rFonts w:ascii="Times New Roman" w:eastAsia="Times New Roman" w:hAnsi="Times New Roman" w:cs="Times New Roman"/>
          <w:sz w:val="28"/>
          <w:szCs w:val="28"/>
        </w:rPr>
        <w:t>вміст БАР (гідроксикоричні кислоти, флавоноїди, фенольні сполуки) у ФППТ:</w:t>
      </w:r>
      <w:r>
        <w:rPr>
          <w:rFonts w:ascii="Times New Roman" w:eastAsia="Times New Roman" w:hAnsi="Times New Roman" w:cs="Times New Roman"/>
          <w:sz w:val="28"/>
          <w:szCs w:val="28"/>
        </w:rPr>
        <w:t xml:space="preserve"> </w:t>
      </w:r>
      <w:r w:rsidRPr="000634C0">
        <w:rPr>
          <w:rFonts w:ascii="Times New Roman" w:eastAsia="Times New Roman" w:hAnsi="Times New Roman" w:cs="Times New Roman"/>
          <w:sz w:val="28"/>
          <w:szCs w:val="28"/>
        </w:rPr>
        <w:t>вміст кислот гідроксикоричних, у перер</w:t>
      </w:r>
      <w:r w:rsidR="007777B7">
        <w:rPr>
          <w:rFonts w:ascii="Times New Roman" w:eastAsia="Times New Roman" w:hAnsi="Times New Roman" w:cs="Times New Roman"/>
          <w:sz w:val="28"/>
          <w:szCs w:val="28"/>
        </w:rPr>
        <w:t xml:space="preserve">ахунку на кислоту хлорогенову </w:t>
      </w:r>
      <w:r w:rsidRPr="000634C0">
        <w:rPr>
          <w:rFonts w:ascii="Times New Roman" w:eastAsia="Times New Roman" w:hAnsi="Times New Roman" w:cs="Times New Roman"/>
          <w:sz w:val="28"/>
          <w:szCs w:val="28"/>
        </w:rPr>
        <w:t>становить 2,28 %, вміст фенольних сполук, у перерахунку на кислоту галову,становить 0,58 %, вміст флавоноїдів, у перерахунку на рутин – 2,52 %.</w:t>
      </w:r>
    </w:p>
    <w:p w:rsidR="00F27CFD" w:rsidRDefault="000634C0" w:rsidP="00F27CFD">
      <w:pPr>
        <w:pStyle w:val="a3"/>
        <w:spacing w:line="360" w:lineRule="auto"/>
        <w:ind w:firstLine="709"/>
        <w:jc w:val="both"/>
        <w:rPr>
          <w:rFonts w:ascii="Times New Roman" w:eastAsia="Times New Roman" w:hAnsi="Times New Roman" w:cs="Times New Roman"/>
          <w:sz w:val="28"/>
          <w:szCs w:val="28"/>
        </w:rPr>
      </w:pPr>
      <w:r w:rsidRPr="000634C0">
        <w:rPr>
          <w:rFonts w:ascii="Times New Roman" w:eastAsia="Times New Roman" w:hAnsi="Times New Roman" w:cs="Times New Roman"/>
          <w:sz w:val="28"/>
          <w:szCs w:val="28"/>
        </w:rPr>
        <w:t>6. Розроблено технологічну схему виробництва гранул на основі ФППТ.</w:t>
      </w:r>
    </w:p>
    <w:p w:rsidR="00F27CFD" w:rsidRDefault="00F27CFD" w:rsidP="00F27CFD">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bookmarkStart w:id="3" w:name="_Toc100315034"/>
    </w:p>
    <w:p w:rsidR="00F27CFD" w:rsidRDefault="00F27CFD" w:rsidP="008139FB">
      <w:pPr>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ЗАГАЛЬНІ ЗВИСНОВКИ</w:t>
      </w:r>
    </w:p>
    <w:p w:rsidR="00F27CFD" w:rsidRDefault="00F27CFD" w:rsidP="00F27CFD">
      <w:pPr>
        <w:spacing w:line="360" w:lineRule="auto"/>
        <w:ind w:firstLine="709"/>
        <w:jc w:val="both"/>
        <w:rPr>
          <w:rFonts w:ascii="Times New Roman" w:eastAsia="Times New Roman" w:hAnsi="Times New Roman" w:cs="Times New Roman"/>
          <w:b/>
          <w:sz w:val="28"/>
          <w:szCs w:val="28"/>
        </w:rPr>
      </w:pP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r w:rsidRPr="00F27CFD">
        <w:rPr>
          <w:rFonts w:ascii="Times New Roman" w:eastAsia="Times New Roman" w:hAnsi="Times New Roman" w:cs="Times New Roman"/>
          <w:sz w:val="28"/>
          <w:szCs w:val="28"/>
        </w:rPr>
        <w:t>В кваліфікаційній роботі вивчено вплив фармацевтичних факторів на</w:t>
      </w:r>
      <w:r>
        <w:rPr>
          <w:rFonts w:ascii="Times New Roman" w:eastAsia="Times New Roman" w:hAnsi="Times New Roman" w:cs="Times New Roman"/>
          <w:sz w:val="28"/>
          <w:szCs w:val="28"/>
        </w:rPr>
        <w:t xml:space="preserve"> </w:t>
      </w:r>
      <w:r w:rsidRPr="00F27CFD">
        <w:rPr>
          <w:rFonts w:ascii="Times New Roman" w:eastAsia="Times New Roman" w:hAnsi="Times New Roman" w:cs="Times New Roman"/>
          <w:sz w:val="28"/>
          <w:szCs w:val="28"/>
        </w:rPr>
        <w:t>технологічні показники гранул на основі ФППТ та запропоновано склад та</w:t>
      </w:r>
      <w:r>
        <w:rPr>
          <w:rFonts w:ascii="Times New Roman" w:eastAsia="Times New Roman" w:hAnsi="Times New Roman" w:cs="Times New Roman"/>
          <w:sz w:val="28"/>
          <w:szCs w:val="28"/>
        </w:rPr>
        <w:t xml:space="preserve"> т</w:t>
      </w:r>
      <w:r w:rsidRPr="00F27CFD">
        <w:rPr>
          <w:rFonts w:ascii="Times New Roman" w:eastAsia="Times New Roman" w:hAnsi="Times New Roman" w:cs="Times New Roman"/>
          <w:sz w:val="28"/>
          <w:szCs w:val="28"/>
        </w:rPr>
        <w:t>ехнологію гранул.</w:t>
      </w: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r w:rsidRPr="00F27CFD">
        <w:rPr>
          <w:rFonts w:ascii="Times New Roman" w:eastAsia="Times New Roman" w:hAnsi="Times New Roman" w:cs="Times New Roman"/>
          <w:sz w:val="28"/>
          <w:szCs w:val="28"/>
        </w:rPr>
        <w:t>1. Проаналізовано та системати</w:t>
      </w:r>
      <w:r>
        <w:rPr>
          <w:rFonts w:ascii="Times New Roman" w:eastAsia="Times New Roman" w:hAnsi="Times New Roman" w:cs="Times New Roman"/>
          <w:sz w:val="28"/>
          <w:szCs w:val="28"/>
        </w:rPr>
        <w:t xml:space="preserve">зовано дані літературних джерел </w:t>
      </w:r>
      <w:r w:rsidRPr="00F27CFD">
        <w:rPr>
          <w:rFonts w:ascii="Times New Roman" w:eastAsia="Times New Roman" w:hAnsi="Times New Roman" w:cs="Times New Roman"/>
          <w:sz w:val="28"/>
          <w:szCs w:val="28"/>
        </w:rPr>
        <w:t>щодо лікування печінки, використання г</w:t>
      </w:r>
      <w:r>
        <w:rPr>
          <w:rFonts w:ascii="Times New Roman" w:eastAsia="Times New Roman" w:hAnsi="Times New Roman" w:cs="Times New Roman"/>
          <w:sz w:val="28"/>
          <w:szCs w:val="28"/>
        </w:rPr>
        <w:t xml:space="preserve">епатопротекторних препаратів ,в </w:t>
      </w:r>
      <w:r w:rsidRPr="00F27CFD">
        <w:rPr>
          <w:rFonts w:ascii="Times New Roman" w:eastAsia="Times New Roman" w:hAnsi="Times New Roman" w:cs="Times New Roman"/>
          <w:sz w:val="28"/>
          <w:szCs w:val="28"/>
        </w:rPr>
        <w:t>тому числі на основі ЛРС. Узагальнено дані наукової літератури щод</w:t>
      </w:r>
      <w:r>
        <w:rPr>
          <w:rFonts w:ascii="Times New Roman" w:eastAsia="Times New Roman" w:hAnsi="Times New Roman" w:cs="Times New Roman"/>
          <w:sz w:val="28"/>
          <w:szCs w:val="28"/>
        </w:rPr>
        <w:t>о об’</w:t>
      </w:r>
      <w:r w:rsidRPr="00F27CFD">
        <w:rPr>
          <w:rFonts w:ascii="Times New Roman" w:eastAsia="Times New Roman" w:hAnsi="Times New Roman" w:cs="Times New Roman"/>
          <w:sz w:val="28"/>
          <w:szCs w:val="28"/>
        </w:rPr>
        <w:t>єкту дослідження: пирію повзучог</w:t>
      </w:r>
      <w:r>
        <w:rPr>
          <w:rFonts w:ascii="Times New Roman" w:eastAsia="Times New Roman" w:hAnsi="Times New Roman" w:cs="Times New Roman"/>
          <w:sz w:val="28"/>
          <w:szCs w:val="28"/>
        </w:rPr>
        <w:t xml:space="preserve">о, як перспективної рослини для </w:t>
      </w:r>
      <w:r w:rsidRPr="00F27CFD">
        <w:rPr>
          <w:rFonts w:ascii="Times New Roman" w:eastAsia="Times New Roman" w:hAnsi="Times New Roman" w:cs="Times New Roman"/>
          <w:sz w:val="28"/>
          <w:szCs w:val="28"/>
        </w:rPr>
        <w:t>розробки нових ЛЗ з гепатопротекторн</w:t>
      </w:r>
      <w:r>
        <w:rPr>
          <w:rFonts w:ascii="Times New Roman" w:eastAsia="Times New Roman" w:hAnsi="Times New Roman" w:cs="Times New Roman"/>
          <w:sz w:val="28"/>
          <w:szCs w:val="28"/>
        </w:rPr>
        <w:t xml:space="preserve">ою активністю. Проведено аналіз </w:t>
      </w:r>
      <w:r w:rsidRPr="00F27CFD">
        <w:rPr>
          <w:rFonts w:ascii="Times New Roman" w:eastAsia="Times New Roman" w:hAnsi="Times New Roman" w:cs="Times New Roman"/>
          <w:sz w:val="28"/>
          <w:szCs w:val="28"/>
        </w:rPr>
        <w:t xml:space="preserve">асортименту гепатопротекторних ЛЗ </w:t>
      </w:r>
      <w:r>
        <w:rPr>
          <w:rFonts w:ascii="Times New Roman" w:eastAsia="Times New Roman" w:hAnsi="Times New Roman" w:cs="Times New Roman"/>
          <w:sz w:val="28"/>
          <w:szCs w:val="28"/>
        </w:rPr>
        <w:t xml:space="preserve">на основі рослинної сировини та </w:t>
      </w:r>
      <w:r w:rsidRPr="00F27CFD">
        <w:rPr>
          <w:rFonts w:ascii="Times New Roman" w:eastAsia="Times New Roman" w:hAnsi="Times New Roman" w:cs="Times New Roman"/>
          <w:sz w:val="28"/>
          <w:szCs w:val="28"/>
        </w:rPr>
        <w:t xml:space="preserve">встановлено, що в Україні станом на жовтень 2023 </w:t>
      </w:r>
      <w:r>
        <w:rPr>
          <w:rFonts w:ascii="Times New Roman" w:eastAsia="Times New Roman" w:hAnsi="Times New Roman" w:cs="Times New Roman"/>
          <w:sz w:val="28"/>
          <w:szCs w:val="28"/>
        </w:rPr>
        <w:t xml:space="preserve">р. дана група </w:t>
      </w:r>
      <w:r w:rsidR="003774AB">
        <w:rPr>
          <w:rFonts w:ascii="Times New Roman" w:eastAsia="Times New Roman" w:hAnsi="Times New Roman" w:cs="Times New Roman"/>
          <w:sz w:val="28"/>
          <w:szCs w:val="28"/>
        </w:rPr>
        <w:t>налічувала 33</w:t>
      </w:r>
      <w:r w:rsidRPr="00F27CFD">
        <w:rPr>
          <w:rFonts w:ascii="Times New Roman" w:eastAsia="Times New Roman" w:hAnsi="Times New Roman" w:cs="Times New Roman"/>
          <w:sz w:val="28"/>
          <w:szCs w:val="28"/>
        </w:rPr>
        <w:t xml:space="preserve"> зареєстрованих ТН,серед яких гранули були відсутні.</w:t>
      </w: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p>
    <w:p w:rsidR="00F27CFD" w:rsidRPr="00F27CFD" w:rsidRDefault="00F27CFD" w:rsidP="008139FB">
      <w:pPr>
        <w:spacing w:line="360" w:lineRule="auto"/>
        <w:ind w:firstLine="709"/>
        <w:jc w:val="both"/>
        <w:rPr>
          <w:rFonts w:ascii="Times New Roman" w:eastAsia="Times New Roman" w:hAnsi="Times New Roman" w:cs="Times New Roman"/>
          <w:sz w:val="28"/>
          <w:szCs w:val="28"/>
        </w:rPr>
      </w:pPr>
      <w:r w:rsidRPr="00F27CFD">
        <w:rPr>
          <w:rFonts w:ascii="Times New Roman" w:eastAsia="Times New Roman" w:hAnsi="Times New Roman" w:cs="Times New Roman"/>
          <w:sz w:val="28"/>
          <w:szCs w:val="28"/>
        </w:rPr>
        <w:t>2. Наведено характеристику ФППТ, Д</w:t>
      </w:r>
      <w:r w:rsidR="008139FB">
        <w:rPr>
          <w:rFonts w:ascii="Times New Roman" w:eastAsia="Times New Roman" w:hAnsi="Times New Roman" w:cs="Times New Roman"/>
          <w:sz w:val="28"/>
          <w:szCs w:val="28"/>
        </w:rPr>
        <w:t xml:space="preserve">Р як об’єктів вивчення, а також </w:t>
      </w:r>
      <w:r w:rsidRPr="00F27CFD">
        <w:rPr>
          <w:rFonts w:ascii="Times New Roman" w:eastAsia="Times New Roman" w:hAnsi="Times New Roman" w:cs="Times New Roman"/>
          <w:sz w:val="28"/>
          <w:szCs w:val="28"/>
        </w:rPr>
        <w:t>методи оцінки фармако-технологічних</w:t>
      </w:r>
      <w:r w:rsidR="008139FB">
        <w:rPr>
          <w:rFonts w:ascii="Times New Roman" w:eastAsia="Times New Roman" w:hAnsi="Times New Roman" w:cs="Times New Roman"/>
          <w:sz w:val="28"/>
          <w:szCs w:val="28"/>
        </w:rPr>
        <w:t xml:space="preserve"> характеристик гранул, методики </w:t>
      </w:r>
      <w:r w:rsidRPr="00F27CFD">
        <w:rPr>
          <w:rFonts w:ascii="Times New Roman" w:eastAsia="Times New Roman" w:hAnsi="Times New Roman" w:cs="Times New Roman"/>
          <w:sz w:val="28"/>
          <w:szCs w:val="28"/>
        </w:rPr>
        <w:t>кількісного визначення БАР.</w:t>
      </w: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p>
    <w:p w:rsidR="00F27CFD" w:rsidRPr="00F27CFD" w:rsidRDefault="00F27CFD" w:rsidP="008139FB">
      <w:pPr>
        <w:spacing w:line="360" w:lineRule="auto"/>
        <w:ind w:firstLine="709"/>
        <w:jc w:val="both"/>
        <w:rPr>
          <w:rFonts w:ascii="Times New Roman" w:eastAsia="Times New Roman" w:hAnsi="Times New Roman" w:cs="Times New Roman"/>
          <w:sz w:val="28"/>
          <w:szCs w:val="28"/>
        </w:rPr>
      </w:pPr>
      <w:r w:rsidRPr="00F27CFD">
        <w:rPr>
          <w:rFonts w:ascii="Times New Roman" w:eastAsia="Times New Roman" w:hAnsi="Times New Roman" w:cs="Times New Roman"/>
          <w:sz w:val="28"/>
          <w:szCs w:val="28"/>
        </w:rPr>
        <w:t>3. Використовуючи дисперс</w:t>
      </w:r>
      <w:r w:rsidR="008139FB">
        <w:rPr>
          <w:rFonts w:ascii="Times New Roman" w:eastAsia="Times New Roman" w:hAnsi="Times New Roman" w:cs="Times New Roman"/>
          <w:sz w:val="28"/>
          <w:szCs w:val="28"/>
        </w:rPr>
        <w:t>ійний аналіз, а саме 3х3 греко-</w:t>
      </w:r>
      <w:r w:rsidRPr="00F27CFD">
        <w:rPr>
          <w:rFonts w:ascii="Times New Roman" w:eastAsia="Times New Roman" w:hAnsi="Times New Roman" w:cs="Times New Roman"/>
          <w:sz w:val="28"/>
          <w:szCs w:val="28"/>
        </w:rPr>
        <w:t>латинський квадрат, встановлено вп</w:t>
      </w:r>
      <w:r w:rsidR="008139FB">
        <w:rPr>
          <w:rFonts w:ascii="Times New Roman" w:eastAsia="Times New Roman" w:hAnsi="Times New Roman" w:cs="Times New Roman"/>
          <w:sz w:val="28"/>
          <w:szCs w:val="28"/>
        </w:rPr>
        <w:t>лив 9-ти ДР на основні фармако-</w:t>
      </w:r>
      <w:r w:rsidRPr="00F27CFD">
        <w:rPr>
          <w:rFonts w:ascii="Times New Roman" w:eastAsia="Times New Roman" w:hAnsi="Times New Roman" w:cs="Times New Roman"/>
          <w:sz w:val="28"/>
          <w:szCs w:val="28"/>
        </w:rPr>
        <w:t>технологічні показники гранул на основі ФППТ та обрано найкращі.</w:t>
      </w:r>
    </w:p>
    <w:p w:rsidR="00F27CFD" w:rsidRPr="00F27CFD" w:rsidRDefault="00F27CFD" w:rsidP="00F27CFD">
      <w:pPr>
        <w:spacing w:line="360" w:lineRule="auto"/>
        <w:ind w:firstLine="709"/>
        <w:jc w:val="both"/>
        <w:rPr>
          <w:rFonts w:ascii="Times New Roman" w:eastAsia="Times New Roman" w:hAnsi="Times New Roman" w:cs="Times New Roman"/>
          <w:sz w:val="28"/>
          <w:szCs w:val="28"/>
        </w:rPr>
      </w:pPr>
    </w:p>
    <w:p w:rsidR="00C811D9" w:rsidRPr="00B07033" w:rsidRDefault="00F27CFD" w:rsidP="00B07033">
      <w:pPr>
        <w:spacing w:line="360" w:lineRule="auto"/>
        <w:ind w:firstLine="709"/>
        <w:jc w:val="both"/>
        <w:rPr>
          <w:rFonts w:ascii="Times New Roman" w:eastAsia="Times New Roman" w:hAnsi="Times New Roman" w:cs="Times New Roman"/>
          <w:sz w:val="28"/>
          <w:szCs w:val="28"/>
        </w:rPr>
      </w:pPr>
      <w:r w:rsidRPr="00F27CFD">
        <w:rPr>
          <w:rFonts w:ascii="Times New Roman" w:eastAsia="Times New Roman" w:hAnsi="Times New Roman" w:cs="Times New Roman"/>
          <w:sz w:val="28"/>
          <w:szCs w:val="28"/>
        </w:rPr>
        <w:t>4. За допомогою методу</w:t>
      </w:r>
      <w:r w:rsidR="008139FB">
        <w:rPr>
          <w:rFonts w:ascii="Times New Roman" w:eastAsia="Times New Roman" w:hAnsi="Times New Roman" w:cs="Times New Roman"/>
          <w:sz w:val="28"/>
          <w:szCs w:val="28"/>
        </w:rPr>
        <w:t xml:space="preserve"> випадкового балансу та діаграм </w:t>
      </w:r>
      <w:r w:rsidRPr="00F27CFD">
        <w:rPr>
          <w:rFonts w:ascii="Times New Roman" w:eastAsia="Times New Roman" w:hAnsi="Times New Roman" w:cs="Times New Roman"/>
          <w:sz w:val="28"/>
          <w:szCs w:val="28"/>
        </w:rPr>
        <w:t>розсіювання вивчено вплив 8-ми кільк</w:t>
      </w:r>
      <w:r w:rsidR="008139FB">
        <w:rPr>
          <w:rFonts w:ascii="Times New Roman" w:eastAsia="Times New Roman" w:hAnsi="Times New Roman" w:cs="Times New Roman"/>
          <w:sz w:val="28"/>
          <w:szCs w:val="28"/>
        </w:rPr>
        <w:t xml:space="preserve">існих факторів: втрата маси при </w:t>
      </w:r>
      <w:r w:rsidRPr="00F27CFD">
        <w:rPr>
          <w:rFonts w:ascii="Times New Roman" w:eastAsia="Times New Roman" w:hAnsi="Times New Roman" w:cs="Times New Roman"/>
          <w:sz w:val="28"/>
          <w:szCs w:val="28"/>
        </w:rPr>
        <w:t>висушуванні, текучість гранул, коефіцієнт Гауснера; насипна густина,</w:t>
      </w:r>
      <w:r w:rsidR="008139FB">
        <w:rPr>
          <w:rFonts w:ascii="Times New Roman" w:eastAsia="Times New Roman" w:hAnsi="Times New Roman" w:cs="Times New Roman"/>
          <w:sz w:val="28"/>
          <w:szCs w:val="28"/>
        </w:rPr>
        <w:t xml:space="preserve"> </w:t>
      </w:r>
      <w:r w:rsidRPr="00F27CFD">
        <w:rPr>
          <w:rFonts w:ascii="Times New Roman" w:eastAsia="Times New Roman" w:hAnsi="Times New Roman" w:cs="Times New Roman"/>
          <w:sz w:val="28"/>
          <w:szCs w:val="28"/>
        </w:rPr>
        <w:t>насипна густина після усадки, крихкість гр</w:t>
      </w:r>
      <w:r w:rsidR="008139FB">
        <w:rPr>
          <w:rFonts w:ascii="Times New Roman" w:eastAsia="Times New Roman" w:hAnsi="Times New Roman" w:cs="Times New Roman"/>
          <w:sz w:val="28"/>
          <w:szCs w:val="28"/>
        </w:rPr>
        <w:t xml:space="preserve">анул та і сфероїдів, розпадання </w:t>
      </w:r>
      <w:r w:rsidRPr="00F27CFD">
        <w:rPr>
          <w:rFonts w:ascii="Times New Roman" w:eastAsia="Times New Roman" w:hAnsi="Times New Roman" w:cs="Times New Roman"/>
          <w:sz w:val="28"/>
          <w:szCs w:val="28"/>
        </w:rPr>
        <w:t>гранул, функція бажаності, на фармако-техноло</w:t>
      </w:r>
      <w:r w:rsidR="008139FB">
        <w:rPr>
          <w:rFonts w:ascii="Times New Roman" w:eastAsia="Times New Roman" w:hAnsi="Times New Roman" w:cs="Times New Roman"/>
          <w:sz w:val="28"/>
          <w:szCs w:val="28"/>
        </w:rPr>
        <w:t xml:space="preserve">гічні властивості гранул і </w:t>
      </w:r>
      <w:r w:rsidRPr="00F27CFD">
        <w:rPr>
          <w:rFonts w:ascii="Times New Roman" w:eastAsia="Times New Roman" w:hAnsi="Times New Roman" w:cs="Times New Roman"/>
          <w:sz w:val="28"/>
          <w:szCs w:val="28"/>
        </w:rPr>
        <w:t>показники якості. На підставі р</w:t>
      </w:r>
      <w:r w:rsidR="008139FB">
        <w:rPr>
          <w:rFonts w:ascii="Times New Roman" w:eastAsia="Times New Roman" w:hAnsi="Times New Roman" w:cs="Times New Roman"/>
          <w:sz w:val="28"/>
          <w:szCs w:val="28"/>
        </w:rPr>
        <w:t xml:space="preserve">езультатів статистичної обробки </w:t>
      </w:r>
      <w:r w:rsidRPr="00F27CFD">
        <w:rPr>
          <w:rFonts w:ascii="Times New Roman" w:eastAsia="Times New Roman" w:hAnsi="Times New Roman" w:cs="Times New Roman"/>
          <w:sz w:val="28"/>
          <w:szCs w:val="28"/>
        </w:rPr>
        <w:t>запропоновано оптимальний склад</w:t>
      </w:r>
      <w:r w:rsidR="008139FB">
        <w:rPr>
          <w:rFonts w:ascii="Times New Roman" w:eastAsia="Times New Roman" w:hAnsi="Times New Roman" w:cs="Times New Roman"/>
          <w:sz w:val="28"/>
          <w:szCs w:val="28"/>
        </w:rPr>
        <w:t xml:space="preserve"> гранул ФППТ- 12,5 %, МКЦ 200 + </w:t>
      </w:r>
      <w:r w:rsidRPr="00F27CFD">
        <w:rPr>
          <w:rFonts w:ascii="Times New Roman" w:eastAsia="Times New Roman" w:hAnsi="Times New Roman" w:cs="Times New Roman"/>
          <w:sz w:val="28"/>
          <w:szCs w:val="28"/>
        </w:rPr>
        <w:t>лактоза (1:1)-70 %, крохмаль прежелатні</w:t>
      </w:r>
      <w:r w:rsidR="008139FB">
        <w:rPr>
          <w:rFonts w:ascii="Times New Roman" w:eastAsia="Times New Roman" w:hAnsi="Times New Roman" w:cs="Times New Roman"/>
          <w:sz w:val="28"/>
          <w:szCs w:val="28"/>
        </w:rPr>
        <w:t xml:space="preserve">зований- 15 % , неусілін US 2 – </w:t>
      </w:r>
      <w:r w:rsidRPr="00F27CFD">
        <w:rPr>
          <w:rFonts w:ascii="Times New Roman" w:eastAsia="Times New Roman" w:hAnsi="Times New Roman" w:cs="Times New Roman"/>
          <w:sz w:val="28"/>
          <w:szCs w:val="28"/>
        </w:rPr>
        <w:t>1 %. Запропоновано технологію с</w:t>
      </w:r>
      <w:r w:rsidR="008139FB">
        <w:rPr>
          <w:rFonts w:ascii="Times New Roman" w:eastAsia="Times New Roman" w:hAnsi="Times New Roman" w:cs="Times New Roman"/>
          <w:sz w:val="28"/>
          <w:szCs w:val="28"/>
        </w:rPr>
        <w:t xml:space="preserve">творення гранул вологим </w:t>
      </w:r>
      <w:r w:rsidRPr="00F27CFD">
        <w:rPr>
          <w:rFonts w:ascii="Times New Roman" w:eastAsia="Times New Roman" w:hAnsi="Times New Roman" w:cs="Times New Roman"/>
          <w:sz w:val="28"/>
          <w:szCs w:val="28"/>
        </w:rPr>
        <w:t>гранулюванням.</w:t>
      </w:r>
      <w:r w:rsidRPr="00F27CFD">
        <w:rPr>
          <w:rFonts w:ascii="Times New Roman" w:eastAsia="Times New Roman" w:hAnsi="Times New Roman" w:cs="Times New Roman"/>
          <w:sz w:val="28"/>
          <w:szCs w:val="28"/>
        </w:rPr>
        <w:br w:type="page"/>
      </w:r>
    </w:p>
    <w:bookmarkEnd w:id="3"/>
    <w:p w:rsidR="007E0D07" w:rsidRDefault="00B07033" w:rsidP="00C811D9">
      <w:pPr>
        <w:pStyle w:val="a3"/>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ВИКОРИСТАНИХ ДЖЕРЕЛ</w:t>
      </w:r>
    </w:p>
    <w:p w:rsidR="008C084C" w:rsidRPr="00CF22AE" w:rsidRDefault="008C084C" w:rsidP="00C811D9">
      <w:pPr>
        <w:pStyle w:val="a3"/>
        <w:spacing w:line="360" w:lineRule="auto"/>
        <w:ind w:firstLine="709"/>
        <w:jc w:val="center"/>
        <w:rPr>
          <w:rFonts w:ascii="Times New Roman" w:eastAsia="Times New Roman" w:hAnsi="Times New Roman" w:cs="Times New Roman"/>
          <w:b/>
          <w:sz w:val="28"/>
          <w:szCs w:val="28"/>
        </w:rPr>
      </w:pPr>
    </w:p>
    <w:p w:rsidR="007E0D07" w:rsidRPr="00CF22AE" w:rsidRDefault="007E0D07"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 xml:space="preserve">1. M. Gahramanova, M. Rudyk, L. Skivka The use of herbal remedies in the treatment of hepatobiliary diseases: trends and prospects Biotechnologia Acta, V. 12, № 5, 2019 С. 42-62; </w:t>
      </w:r>
    </w:p>
    <w:p w:rsidR="007E0D07" w:rsidRPr="00CF22AE" w:rsidRDefault="007E0D07" w:rsidP="00DB7D0E">
      <w:pPr>
        <w:pStyle w:val="a3"/>
        <w:spacing w:line="360" w:lineRule="auto"/>
        <w:ind w:firstLine="709"/>
        <w:jc w:val="both"/>
        <w:rPr>
          <w:rStyle w:val="articleheadermetadoilink"/>
          <w:rFonts w:ascii="Times New Roman" w:hAnsi="Times New Roman" w:cs="Times New Roman"/>
          <w:sz w:val="28"/>
          <w:szCs w:val="28"/>
        </w:rPr>
      </w:pPr>
      <w:r w:rsidRPr="00CF22AE">
        <w:rPr>
          <w:rStyle w:val="mixed-citation"/>
          <w:rFonts w:ascii="Times New Roman" w:hAnsi="Times New Roman" w:cs="Times New Roman"/>
          <w:sz w:val="28"/>
          <w:szCs w:val="28"/>
        </w:rPr>
        <w:t>2. Al</w:t>
      </w:r>
      <w:r w:rsidRPr="00CF22AE">
        <w:rPr>
          <w:rStyle w:val="mixed-citation"/>
          <w:rFonts w:ascii="Cambria Math" w:hAnsi="Cambria Math" w:cs="Cambria Math"/>
          <w:sz w:val="28"/>
          <w:szCs w:val="28"/>
        </w:rPr>
        <w:t>‐</w:t>
      </w:r>
      <w:r w:rsidRPr="00CF22AE">
        <w:rPr>
          <w:rStyle w:val="mixed-citation"/>
          <w:rFonts w:ascii="Times New Roman" w:hAnsi="Times New Roman" w:cs="Times New Roman"/>
          <w:sz w:val="28"/>
          <w:szCs w:val="28"/>
        </w:rPr>
        <w:t>Asmari, A. K. , Al</w:t>
      </w:r>
      <w:r w:rsidRPr="00CF22AE">
        <w:rPr>
          <w:rStyle w:val="mixed-citation"/>
          <w:rFonts w:ascii="Cambria Math" w:hAnsi="Cambria Math" w:cs="Cambria Math"/>
          <w:sz w:val="28"/>
          <w:szCs w:val="28"/>
        </w:rPr>
        <w:t>‐</w:t>
      </w:r>
      <w:r w:rsidRPr="00CF22AE">
        <w:rPr>
          <w:rStyle w:val="mixed-citation"/>
          <w:rFonts w:ascii="Times New Roman" w:hAnsi="Times New Roman" w:cs="Times New Roman"/>
          <w:sz w:val="28"/>
          <w:szCs w:val="28"/>
        </w:rPr>
        <w:t>Elaiwi, A. M. , Athar, M. T. , Tariq, M. , Al Eid, A. , &amp; Al</w:t>
      </w:r>
      <w:r w:rsidRPr="00CF22AE">
        <w:rPr>
          <w:rStyle w:val="mixed-citation"/>
          <w:rFonts w:ascii="Cambria Math" w:hAnsi="Cambria Math" w:cs="Cambria Math"/>
          <w:sz w:val="28"/>
          <w:szCs w:val="28"/>
        </w:rPr>
        <w:t>‐</w:t>
      </w:r>
      <w:r w:rsidRPr="00CF22AE">
        <w:rPr>
          <w:rStyle w:val="mixed-citation"/>
          <w:rFonts w:ascii="Times New Roman" w:hAnsi="Times New Roman" w:cs="Times New Roman"/>
          <w:sz w:val="28"/>
          <w:szCs w:val="28"/>
        </w:rPr>
        <w:t xml:space="preserve">Asmary, S. M. (2014). </w:t>
      </w:r>
      <w:r w:rsidRPr="00CF22AE">
        <w:rPr>
          <w:rStyle w:val="ref-title"/>
          <w:rFonts w:ascii="Times New Roman" w:hAnsi="Times New Roman" w:cs="Times New Roman"/>
          <w:sz w:val="28"/>
          <w:szCs w:val="28"/>
        </w:rPr>
        <w:t>A review of hepatoprotective plants used in Saudi traditional medicine</w:t>
      </w:r>
      <w:r w:rsidRPr="00CF22AE">
        <w:rPr>
          <w:rStyle w:val="mixed-citation"/>
          <w:rFonts w:ascii="Times New Roman" w:hAnsi="Times New Roman" w:cs="Times New Roman"/>
          <w:sz w:val="28"/>
          <w:szCs w:val="28"/>
        </w:rPr>
        <w:t xml:space="preserve">. </w:t>
      </w:r>
      <w:r w:rsidRPr="00CF22AE">
        <w:rPr>
          <w:rStyle w:val="ref-journal"/>
          <w:rFonts w:ascii="Times New Roman" w:hAnsi="Times New Roman" w:cs="Times New Roman"/>
          <w:sz w:val="28"/>
          <w:szCs w:val="28"/>
        </w:rPr>
        <w:t>Evidence</w:t>
      </w:r>
      <w:r w:rsidRPr="00CF22AE">
        <w:rPr>
          <w:rStyle w:val="ref-journal"/>
          <w:rFonts w:ascii="Cambria Math" w:hAnsi="Cambria Math" w:cs="Cambria Math"/>
          <w:sz w:val="28"/>
          <w:szCs w:val="28"/>
        </w:rPr>
        <w:t>‐</w:t>
      </w:r>
      <w:r w:rsidRPr="00CF22AE">
        <w:rPr>
          <w:rStyle w:val="ref-journal"/>
          <w:rFonts w:ascii="Times New Roman" w:hAnsi="Times New Roman" w:cs="Times New Roman"/>
          <w:sz w:val="28"/>
          <w:szCs w:val="28"/>
        </w:rPr>
        <w:t>based complementary and alternative medicine: eCAM</w:t>
      </w:r>
      <w:r w:rsidRPr="00CF22AE">
        <w:rPr>
          <w:rStyle w:val="mixed-citation"/>
          <w:rFonts w:ascii="Times New Roman" w:hAnsi="Times New Roman" w:cs="Times New Roman"/>
          <w:sz w:val="28"/>
          <w:szCs w:val="28"/>
        </w:rPr>
        <w:t xml:space="preserve">, </w:t>
      </w:r>
      <w:r w:rsidRPr="00CF22AE">
        <w:rPr>
          <w:rStyle w:val="ref-vol"/>
          <w:rFonts w:ascii="Times New Roman" w:hAnsi="Times New Roman" w:cs="Times New Roman"/>
          <w:sz w:val="28"/>
          <w:szCs w:val="28"/>
        </w:rPr>
        <w:t>2014</w:t>
      </w:r>
      <w:r w:rsidRPr="00CF22AE">
        <w:rPr>
          <w:rStyle w:val="mixed-citation"/>
          <w:rFonts w:ascii="Times New Roman" w:hAnsi="Times New Roman" w:cs="Times New Roman"/>
          <w:sz w:val="28"/>
          <w:szCs w:val="28"/>
        </w:rPr>
        <w:t xml:space="preserve">, </w:t>
      </w:r>
      <w:hyperlink r:id="rId39" w:tgtFrame="_blank" w:history="1">
        <w:r w:rsidRPr="00CF22AE">
          <w:rPr>
            <w:rStyle w:val="a4"/>
            <w:rFonts w:ascii="Times New Roman" w:hAnsi="Times New Roman" w:cs="Times New Roman"/>
            <w:sz w:val="28"/>
            <w:szCs w:val="28"/>
          </w:rPr>
          <w:t>doi.org/10.1155/2014/890842</w:t>
        </w:r>
      </w:hyperlink>
      <w:r w:rsidRPr="00CF22AE">
        <w:rPr>
          <w:rStyle w:val="articleheadermetadoilink"/>
          <w:rFonts w:ascii="Times New Roman" w:hAnsi="Times New Roman" w:cs="Times New Roman"/>
          <w:sz w:val="28"/>
          <w:szCs w:val="28"/>
        </w:rPr>
        <w:t xml:space="preserve">; </w:t>
      </w:r>
    </w:p>
    <w:p w:rsidR="007E0D07" w:rsidRPr="00CF22AE" w:rsidRDefault="004A2E1A" w:rsidP="00DB7D0E">
      <w:pPr>
        <w:pStyle w:val="a3"/>
        <w:spacing w:line="360" w:lineRule="auto"/>
        <w:ind w:firstLine="709"/>
        <w:jc w:val="both"/>
        <w:rPr>
          <w:rFonts w:ascii="Times New Roman" w:eastAsia="Times New Roman" w:hAnsi="Times New Roman" w:cs="Times New Roman"/>
          <w:sz w:val="28"/>
          <w:szCs w:val="28"/>
          <w:lang w:eastAsia="uk-UA"/>
        </w:rPr>
      </w:pPr>
      <w:r w:rsidRPr="00CF22AE">
        <w:rPr>
          <w:rStyle w:val="articleheadermetadoilink"/>
          <w:rFonts w:ascii="Times New Roman" w:hAnsi="Times New Roman" w:cs="Times New Roman"/>
          <w:sz w:val="28"/>
          <w:szCs w:val="28"/>
        </w:rPr>
        <w:t xml:space="preserve">3. </w:t>
      </w:r>
      <w:hyperlink r:id="rId40" w:history="1">
        <w:r w:rsidR="007E0D07" w:rsidRPr="00CF22AE">
          <w:rPr>
            <w:rFonts w:ascii="Times New Roman" w:eastAsia="Times New Roman" w:hAnsi="Times New Roman" w:cs="Times New Roman"/>
            <w:sz w:val="28"/>
            <w:szCs w:val="28"/>
            <w:u w:val="single"/>
            <w:lang w:eastAsia="uk-UA"/>
          </w:rPr>
          <w:t>Muhammad Ali</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1" w:history="1">
        <w:r w:rsidR="007E0D07" w:rsidRPr="00CF22AE">
          <w:rPr>
            <w:rFonts w:ascii="Times New Roman" w:eastAsia="Times New Roman" w:hAnsi="Times New Roman" w:cs="Times New Roman"/>
            <w:sz w:val="28"/>
            <w:szCs w:val="28"/>
            <w:u w:val="single"/>
            <w:lang w:eastAsia="uk-UA"/>
          </w:rPr>
          <w:t>Tariq Khan</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noProof/>
          <w:sz w:val="28"/>
          <w:szCs w:val="28"/>
          <w:vertAlign w:val="superscript"/>
          <w:lang w:eastAsia="uk-UA"/>
        </w:rPr>
        <w:drawing>
          <wp:inline distT="0" distB="0" distL="0" distR="0" wp14:anchorId="4EAF3AC8" wp14:editId="336EEA1E">
            <wp:extent cx="66675" cy="85725"/>
            <wp:effectExtent l="0" t="0" r="9525" b="9525"/>
            <wp:docPr id="1" name="Рисунок 1" descr="corresponding auth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rresponding author"/>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675" cy="85725"/>
                    </a:xfrm>
                    <a:prstGeom prst="rect">
                      <a:avLst/>
                    </a:prstGeom>
                    <a:noFill/>
                    <a:ln>
                      <a:noFill/>
                    </a:ln>
                  </pic:spPr>
                </pic:pic>
              </a:graphicData>
            </a:graphic>
          </wp:inline>
        </w:drawing>
      </w:r>
      <w:r w:rsidR="007E0D07" w:rsidRPr="00CF22AE">
        <w:rPr>
          <w:rFonts w:ascii="Times New Roman" w:eastAsia="Times New Roman" w:hAnsi="Times New Roman" w:cs="Times New Roman"/>
          <w:sz w:val="28"/>
          <w:szCs w:val="28"/>
          <w:vertAlign w:val="superscript"/>
          <w:lang w:eastAsia="uk-UA"/>
        </w:rPr>
        <w:t xml:space="preserve"> </w:t>
      </w:r>
      <w:hyperlink r:id="rId43" w:history="1">
        <w:r w:rsidR="007E0D07" w:rsidRPr="00CF22AE">
          <w:rPr>
            <w:rFonts w:ascii="Times New Roman" w:eastAsia="Times New Roman" w:hAnsi="Times New Roman" w:cs="Times New Roman"/>
            <w:sz w:val="28"/>
            <w:szCs w:val="28"/>
            <w:u w:val="single"/>
            <w:lang w:eastAsia="uk-UA"/>
          </w:rPr>
          <w:t>Kaneez Fatima</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4" w:history="1">
        <w:r w:rsidR="007E0D07" w:rsidRPr="00CF22AE">
          <w:rPr>
            <w:rFonts w:ascii="Times New Roman" w:eastAsia="Times New Roman" w:hAnsi="Times New Roman" w:cs="Times New Roman"/>
            <w:sz w:val="28"/>
            <w:szCs w:val="28"/>
            <w:u w:val="single"/>
            <w:lang w:eastAsia="uk-UA"/>
          </w:rPr>
          <w:t>Qurat ul Ain Ali</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5" w:history="1">
        <w:r w:rsidR="007E0D07" w:rsidRPr="00CF22AE">
          <w:rPr>
            <w:rFonts w:ascii="Times New Roman" w:eastAsia="Times New Roman" w:hAnsi="Times New Roman" w:cs="Times New Roman"/>
            <w:sz w:val="28"/>
            <w:szCs w:val="28"/>
            <w:u w:val="single"/>
            <w:lang w:eastAsia="uk-UA"/>
          </w:rPr>
          <w:t>Muhammad Ovais</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6" w:history="1">
        <w:r w:rsidR="007E0D07" w:rsidRPr="00CF22AE">
          <w:rPr>
            <w:rFonts w:ascii="Times New Roman" w:eastAsia="Times New Roman" w:hAnsi="Times New Roman" w:cs="Times New Roman"/>
            <w:sz w:val="28"/>
            <w:szCs w:val="28"/>
            <w:u w:val="single"/>
            <w:lang w:eastAsia="uk-UA"/>
          </w:rPr>
          <w:t>Ali Talha Khalil</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7" w:history="1">
        <w:r w:rsidR="007E0D07" w:rsidRPr="00CF22AE">
          <w:rPr>
            <w:rFonts w:ascii="Times New Roman" w:eastAsia="Times New Roman" w:hAnsi="Times New Roman" w:cs="Times New Roman"/>
            <w:sz w:val="28"/>
            <w:szCs w:val="28"/>
            <w:u w:val="single"/>
            <w:lang w:eastAsia="uk-UA"/>
          </w:rPr>
          <w:t>Ikram Ullah</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8" w:history="1">
        <w:r w:rsidR="007E0D07" w:rsidRPr="00CF22AE">
          <w:rPr>
            <w:rFonts w:ascii="Times New Roman" w:eastAsia="Times New Roman" w:hAnsi="Times New Roman" w:cs="Times New Roman"/>
            <w:sz w:val="28"/>
            <w:szCs w:val="28"/>
            <w:u w:val="single"/>
            <w:lang w:eastAsia="uk-UA"/>
          </w:rPr>
          <w:t>Abida Raza</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49" w:history="1">
        <w:r w:rsidR="007E0D07" w:rsidRPr="00CF22AE">
          <w:rPr>
            <w:rFonts w:ascii="Times New Roman" w:eastAsia="Times New Roman" w:hAnsi="Times New Roman" w:cs="Times New Roman"/>
            <w:sz w:val="28"/>
            <w:szCs w:val="28"/>
            <w:u w:val="single"/>
            <w:lang w:eastAsia="uk-UA"/>
          </w:rPr>
          <w:t>Zabta Khan Shinwari</w:t>
        </w:r>
      </w:hyperlink>
      <w:r w:rsidR="007E0D07" w:rsidRPr="00CF22AE">
        <w:rPr>
          <w:rFonts w:ascii="Times New Roman" w:eastAsia="Times New Roman" w:hAnsi="Times New Roman" w:cs="Times New Roman"/>
          <w:sz w:val="28"/>
          <w:szCs w:val="28"/>
          <w:lang w:eastAsia="uk-UA"/>
        </w:rPr>
        <w:t>,</w:t>
      </w:r>
      <w:r w:rsidR="007E0D07" w:rsidRPr="00CF22AE">
        <w:rPr>
          <w:rFonts w:ascii="Times New Roman" w:eastAsia="Times New Roman" w:hAnsi="Times New Roman" w:cs="Times New Roman"/>
          <w:sz w:val="28"/>
          <w:szCs w:val="28"/>
          <w:vertAlign w:val="superscript"/>
          <w:lang w:eastAsia="uk-UA"/>
        </w:rPr>
        <w:t xml:space="preserve"> </w:t>
      </w:r>
      <w:hyperlink r:id="rId50" w:history="1">
        <w:r w:rsidR="007E0D07" w:rsidRPr="00CF22AE">
          <w:rPr>
            <w:rFonts w:ascii="Times New Roman" w:eastAsia="Times New Roman" w:hAnsi="Times New Roman" w:cs="Times New Roman"/>
            <w:sz w:val="28"/>
            <w:szCs w:val="28"/>
            <w:u w:val="single"/>
            <w:lang w:eastAsia="uk-UA"/>
          </w:rPr>
          <w:t>Muhammad Idrees</w:t>
        </w:r>
      </w:hyperlink>
      <w:r w:rsidR="007E0D07" w:rsidRPr="00CF22AE">
        <w:rPr>
          <w:rFonts w:ascii="Times New Roman" w:eastAsia="Times New Roman" w:hAnsi="Times New Roman" w:cs="Times New Roman"/>
          <w:sz w:val="28"/>
          <w:szCs w:val="28"/>
          <w:vertAlign w:val="superscript"/>
          <w:lang w:eastAsia="uk-UA"/>
        </w:rPr>
        <w:t xml:space="preserve">  </w:t>
      </w:r>
      <w:r w:rsidR="007E0D07" w:rsidRPr="00CF22AE">
        <w:rPr>
          <w:rFonts w:ascii="Times New Roman" w:eastAsia="Times New Roman" w:hAnsi="Times New Roman" w:cs="Times New Roman"/>
          <w:bCs/>
          <w:kern w:val="36"/>
          <w:sz w:val="28"/>
          <w:szCs w:val="28"/>
          <w:lang w:eastAsia="uk-UA"/>
        </w:rPr>
        <w:t xml:space="preserve">Selected hepatoprotective herbal medicines: Evidence from ethnomedicinal applications, animal models, and possible mechanism of actions </w:t>
      </w:r>
      <w:hyperlink r:id="rId51" w:history="1">
        <w:r w:rsidR="007E0D07" w:rsidRPr="00CF22AE">
          <w:rPr>
            <w:rFonts w:ascii="Times New Roman" w:eastAsia="Times New Roman" w:hAnsi="Times New Roman" w:cs="Times New Roman"/>
            <w:color w:val="0000FF"/>
            <w:sz w:val="28"/>
            <w:szCs w:val="28"/>
            <w:u w:val="single"/>
            <w:lang w:eastAsia="uk-UA"/>
          </w:rPr>
          <w:t>Phytother Res.</w:t>
        </w:r>
      </w:hyperlink>
      <w:r w:rsidR="007E0D07" w:rsidRPr="00CF22AE">
        <w:rPr>
          <w:rFonts w:ascii="Times New Roman" w:eastAsia="Times New Roman" w:hAnsi="Times New Roman" w:cs="Times New Roman"/>
          <w:sz w:val="28"/>
          <w:szCs w:val="28"/>
          <w:lang w:eastAsia="uk-UA"/>
        </w:rPr>
        <w:t xml:space="preserve"> 2018 Feb; 32(2): 199–215</w:t>
      </w:r>
      <w:r w:rsidRPr="00CF22AE">
        <w:rPr>
          <w:rFonts w:ascii="Times New Roman" w:eastAsia="Times New Roman" w:hAnsi="Times New Roman" w:cs="Times New Roman"/>
          <w:sz w:val="28"/>
          <w:szCs w:val="28"/>
          <w:lang w:eastAsia="uk-UA"/>
        </w:rPr>
        <w:t>.</w:t>
      </w:r>
    </w:p>
    <w:p w:rsidR="00A8550B" w:rsidRPr="00CF22AE" w:rsidRDefault="004A2E1A"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 xml:space="preserve">4. </w:t>
      </w:r>
      <w:r w:rsidR="00A8550B" w:rsidRPr="00CF22AE">
        <w:rPr>
          <w:rFonts w:ascii="Times New Roman" w:hAnsi="Times New Roman" w:cs="Times New Roman"/>
          <w:sz w:val="28"/>
          <w:szCs w:val="28"/>
        </w:rPr>
        <w:t>Шмалько О. О. Розробка складу та технології фітосиропу гепатопротекторної та жовчогінної дії : автореф. дис. на здобуття наук. ступеня канд. фармац. наук : [спец.] 15.00.01 “Технологія ліків, організація фармацевтичної справи та судова фармація” / О. О. Шмалько ; Нац. фармац. ун-т. – Харків, 2017. – 23 с.</w:t>
      </w:r>
    </w:p>
    <w:p w:rsidR="004A2E1A" w:rsidRPr="00CF22AE" w:rsidRDefault="00A8550B" w:rsidP="00DB7D0E">
      <w:pPr>
        <w:pStyle w:val="a3"/>
        <w:spacing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 xml:space="preserve"> </w:t>
      </w:r>
      <w:r w:rsidR="004A2E1A" w:rsidRPr="00CF22AE">
        <w:rPr>
          <w:rFonts w:ascii="Times New Roman" w:hAnsi="Times New Roman" w:cs="Times New Roman"/>
          <w:sz w:val="28"/>
          <w:szCs w:val="28"/>
        </w:rPr>
        <w:t xml:space="preserve">5. </w:t>
      </w:r>
      <w:r w:rsidR="00C73093" w:rsidRPr="00CF22AE">
        <w:rPr>
          <w:rFonts w:ascii="Times New Roman" w:hAnsi="Times New Roman" w:cs="Times New Roman"/>
          <w:sz w:val="28"/>
          <w:szCs w:val="28"/>
        </w:rPr>
        <w:t xml:space="preserve">Скубицька, Л. Д., and О. В. Севериновська. "Кислотоутворююча функція шлунку при хронічному гастриті та при хронічному гастриті з супутнім ураженням підшлункової залози." Мир медицины и биологии 11.4-2 (54) (2015): 69-73. </w:t>
      </w:r>
    </w:p>
    <w:p w:rsidR="004A2E1A" w:rsidRPr="00CF22AE" w:rsidRDefault="004A2E1A" w:rsidP="00DB7D0E">
      <w:pPr>
        <w:pStyle w:val="a3"/>
        <w:spacing w:line="360" w:lineRule="auto"/>
        <w:ind w:firstLine="709"/>
        <w:jc w:val="both"/>
        <w:rPr>
          <w:rStyle w:val="mixed-citation"/>
          <w:rFonts w:ascii="Times New Roman" w:hAnsi="Times New Roman" w:cs="Times New Roman"/>
          <w:sz w:val="28"/>
          <w:szCs w:val="28"/>
        </w:rPr>
      </w:pPr>
      <w:r w:rsidRPr="00CF22AE">
        <w:rPr>
          <w:rStyle w:val="mixed-citation"/>
          <w:rFonts w:ascii="Times New Roman" w:hAnsi="Times New Roman" w:cs="Times New Roman"/>
          <w:sz w:val="28"/>
          <w:szCs w:val="28"/>
        </w:rPr>
        <w:t>6. Izzo, A. A. , Hoon</w:t>
      </w:r>
      <w:r w:rsidRPr="00CF22AE">
        <w:rPr>
          <w:rStyle w:val="mixed-citation"/>
          <w:rFonts w:ascii="Cambria Math" w:hAnsi="Cambria Math" w:cs="Cambria Math"/>
          <w:sz w:val="28"/>
          <w:szCs w:val="28"/>
        </w:rPr>
        <w:t>‐</w:t>
      </w:r>
      <w:r w:rsidRPr="00CF22AE">
        <w:rPr>
          <w:rStyle w:val="mixed-citation"/>
          <w:rFonts w:ascii="Times New Roman" w:hAnsi="Times New Roman" w:cs="Times New Roman"/>
          <w:sz w:val="28"/>
          <w:szCs w:val="28"/>
        </w:rPr>
        <w:t xml:space="preserve">Kim, S. , Radhakrishnan, R. , &amp; Williamson, E. M. (2016). </w:t>
      </w:r>
      <w:r w:rsidRPr="00CF22AE">
        <w:rPr>
          <w:rStyle w:val="ref-title"/>
          <w:rFonts w:ascii="Times New Roman" w:hAnsi="Times New Roman" w:cs="Times New Roman"/>
          <w:sz w:val="28"/>
          <w:szCs w:val="28"/>
        </w:rPr>
        <w:t>A critical approach to evaluating clinical efficacy, adverse events and drug interactions of herbal remedies</w:t>
      </w:r>
      <w:r w:rsidRPr="00CF22AE">
        <w:rPr>
          <w:rStyle w:val="mixed-citation"/>
          <w:rFonts w:ascii="Times New Roman" w:hAnsi="Times New Roman" w:cs="Times New Roman"/>
          <w:sz w:val="28"/>
          <w:szCs w:val="28"/>
        </w:rPr>
        <w:t xml:space="preserve">. </w:t>
      </w:r>
      <w:r w:rsidRPr="00CF22AE">
        <w:rPr>
          <w:rStyle w:val="ref-journal"/>
          <w:rFonts w:ascii="Times New Roman" w:hAnsi="Times New Roman" w:cs="Times New Roman"/>
          <w:sz w:val="28"/>
          <w:szCs w:val="28"/>
        </w:rPr>
        <w:t>Phytotherapy research : PTR</w:t>
      </w:r>
      <w:r w:rsidRPr="00CF22AE">
        <w:rPr>
          <w:rStyle w:val="mixed-citation"/>
          <w:rFonts w:ascii="Times New Roman" w:hAnsi="Times New Roman" w:cs="Times New Roman"/>
          <w:sz w:val="28"/>
          <w:szCs w:val="28"/>
        </w:rPr>
        <w:t xml:space="preserve">, </w:t>
      </w:r>
      <w:r w:rsidRPr="00CF22AE">
        <w:rPr>
          <w:rStyle w:val="ref-vol"/>
          <w:rFonts w:ascii="Times New Roman" w:hAnsi="Times New Roman" w:cs="Times New Roman"/>
          <w:sz w:val="28"/>
          <w:szCs w:val="28"/>
        </w:rPr>
        <w:t>30</w:t>
      </w:r>
      <w:r w:rsidRPr="00CF22AE">
        <w:rPr>
          <w:rStyle w:val="mixed-citation"/>
          <w:rFonts w:ascii="Times New Roman" w:hAnsi="Times New Roman" w:cs="Times New Roman"/>
          <w:sz w:val="28"/>
          <w:szCs w:val="28"/>
        </w:rPr>
        <w:t>(</w:t>
      </w:r>
      <w:r w:rsidRPr="00CF22AE">
        <w:rPr>
          <w:rStyle w:val="ref-iss"/>
          <w:rFonts w:ascii="Times New Roman" w:hAnsi="Times New Roman" w:cs="Times New Roman"/>
          <w:sz w:val="28"/>
          <w:szCs w:val="28"/>
        </w:rPr>
        <w:t>5</w:t>
      </w:r>
      <w:r w:rsidRPr="00CF22AE">
        <w:rPr>
          <w:rStyle w:val="mixed-citation"/>
          <w:rFonts w:ascii="Times New Roman" w:hAnsi="Times New Roman" w:cs="Times New Roman"/>
          <w:sz w:val="28"/>
          <w:szCs w:val="28"/>
        </w:rPr>
        <w:t>), 691–700.</w:t>
      </w:r>
    </w:p>
    <w:p w:rsidR="004A2E1A" w:rsidRPr="00CF22AE" w:rsidRDefault="004A2E1A" w:rsidP="00DB7D0E">
      <w:pPr>
        <w:pStyle w:val="a3"/>
        <w:spacing w:line="360" w:lineRule="auto"/>
        <w:ind w:firstLine="709"/>
        <w:jc w:val="both"/>
        <w:rPr>
          <w:rStyle w:val="mixed-citation"/>
          <w:rFonts w:ascii="Times New Roman" w:hAnsi="Times New Roman" w:cs="Times New Roman"/>
          <w:sz w:val="28"/>
          <w:szCs w:val="28"/>
        </w:rPr>
      </w:pPr>
      <w:r w:rsidRPr="00CF22AE">
        <w:rPr>
          <w:rStyle w:val="mixed-citation"/>
          <w:rFonts w:ascii="Times New Roman" w:hAnsi="Times New Roman" w:cs="Times New Roman"/>
          <w:sz w:val="28"/>
          <w:szCs w:val="28"/>
        </w:rPr>
        <w:t xml:space="preserve">7.Babu, P. R. , Bhuvaneswar, C. , Sandeep, G. , Ramaiah, C. V. , &amp; Rajendra, W. (2017). </w:t>
      </w:r>
      <w:r w:rsidRPr="00CF22AE">
        <w:rPr>
          <w:rStyle w:val="ref-title"/>
          <w:rFonts w:ascii="Times New Roman" w:hAnsi="Times New Roman" w:cs="Times New Roman"/>
          <w:sz w:val="28"/>
          <w:szCs w:val="28"/>
        </w:rPr>
        <w:t>Hepatoprotective role of Ricinus communis leaf extract against d</w:t>
      </w:r>
      <w:r w:rsidRPr="00CF22AE">
        <w:rPr>
          <w:rStyle w:val="ref-title"/>
          <w:rFonts w:ascii="Cambria Math" w:hAnsi="Cambria Math" w:cs="Cambria Math"/>
          <w:sz w:val="28"/>
          <w:szCs w:val="28"/>
        </w:rPr>
        <w:t>‐</w:t>
      </w:r>
      <w:r w:rsidRPr="00CF22AE">
        <w:rPr>
          <w:rStyle w:val="ref-title"/>
          <w:rFonts w:ascii="Times New Roman" w:hAnsi="Times New Roman" w:cs="Times New Roman"/>
          <w:sz w:val="28"/>
          <w:szCs w:val="28"/>
        </w:rPr>
        <w:t>galactosamine induced acute hepatitis in albino rats</w:t>
      </w:r>
      <w:r w:rsidRPr="00CF22AE">
        <w:rPr>
          <w:rStyle w:val="mixed-citation"/>
          <w:rFonts w:ascii="Times New Roman" w:hAnsi="Times New Roman" w:cs="Times New Roman"/>
          <w:sz w:val="28"/>
          <w:szCs w:val="28"/>
        </w:rPr>
        <w:t xml:space="preserve">. </w:t>
      </w:r>
      <w:r w:rsidRPr="00CF22AE">
        <w:rPr>
          <w:rStyle w:val="ref-journal"/>
          <w:rFonts w:ascii="Times New Roman" w:hAnsi="Times New Roman" w:cs="Times New Roman"/>
          <w:sz w:val="28"/>
          <w:szCs w:val="28"/>
        </w:rPr>
        <w:t>Biomedicine &amp; Pharmacotherapy</w:t>
      </w:r>
      <w:r w:rsidRPr="00CF22AE">
        <w:rPr>
          <w:rStyle w:val="mixed-citation"/>
          <w:rFonts w:ascii="Times New Roman" w:hAnsi="Times New Roman" w:cs="Times New Roman"/>
          <w:sz w:val="28"/>
          <w:szCs w:val="28"/>
        </w:rPr>
        <w:t xml:space="preserve">, </w:t>
      </w:r>
      <w:r w:rsidRPr="00CF22AE">
        <w:rPr>
          <w:rStyle w:val="ref-vol"/>
          <w:rFonts w:ascii="Times New Roman" w:hAnsi="Times New Roman" w:cs="Times New Roman"/>
          <w:sz w:val="28"/>
          <w:szCs w:val="28"/>
        </w:rPr>
        <w:t>88</w:t>
      </w:r>
      <w:r w:rsidRPr="00CF22AE">
        <w:rPr>
          <w:rStyle w:val="mixed-citation"/>
          <w:rFonts w:ascii="Times New Roman" w:hAnsi="Times New Roman" w:cs="Times New Roman"/>
          <w:sz w:val="28"/>
          <w:szCs w:val="28"/>
        </w:rPr>
        <w:t xml:space="preserve">, 658–666.; </w:t>
      </w:r>
    </w:p>
    <w:p w:rsidR="004A2E1A" w:rsidRPr="00CF22AE" w:rsidRDefault="004A2E1A" w:rsidP="00DB7D0E">
      <w:pPr>
        <w:pStyle w:val="a3"/>
        <w:spacing w:line="360" w:lineRule="auto"/>
        <w:ind w:firstLine="709"/>
        <w:jc w:val="both"/>
        <w:rPr>
          <w:rStyle w:val="mixed-citation"/>
          <w:rFonts w:ascii="Times New Roman" w:hAnsi="Times New Roman" w:cs="Times New Roman"/>
          <w:sz w:val="28"/>
          <w:szCs w:val="28"/>
        </w:rPr>
      </w:pPr>
      <w:r w:rsidRPr="00CF22AE">
        <w:rPr>
          <w:rStyle w:val="mixed-citation"/>
          <w:rFonts w:ascii="Times New Roman" w:hAnsi="Times New Roman" w:cs="Times New Roman"/>
          <w:sz w:val="28"/>
          <w:szCs w:val="28"/>
        </w:rPr>
        <w:t xml:space="preserve">8. Gnanadesigan, M. , Ravikumar, S. , &amp; Anand, M. (2017). </w:t>
      </w:r>
      <w:r w:rsidRPr="00CF22AE">
        <w:rPr>
          <w:rStyle w:val="ref-title"/>
          <w:rFonts w:ascii="Times New Roman" w:hAnsi="Times New Roman" w:cs="Times New Roman"/>
          <w:sz w:val="28"/>
          <w:szCs w:val="28"/>
        </w:rPr>
        <w:t>Hepatoprotective activity of Ceriops decandra (Griff.) Ding Hou mangrove plant against CC</w:t>
      </w:r>
      <w:r w:rsidRPr="00CF22AE">
        <w:rPr>
          <w:rStyle w:val="ref-title"/>
          <w:rFonts w:ascii="Times New Roman" w:hAnsi="Times New Roman" w:cs="Times New Roman"/>
          <w:sz w:val="28"/>
          <w:szCs w:val="28"/>
          <w:vertAlign w:val="subscript"/>
        </w:rPr>
        <w:t>l4</w:t>
      </w:r>
      <w:r w:rsidRPr="00CF22AE">
        <w:rPr>
          <w:rStyle w:val="ref-title"/>
          <w:rFonts w:ascii="Times New Roman" w:hAnsi="Times New Roman" w:cs="Times New Roman"/>
          <w:sz w:val="28"/>
          <w:szCs w:val="28"/>
        </w:rPr>
        <w:t xml:space="preserve"> induced liver damage</w:t>
      </w:r>
      <w:r w:rsidRPr="00CF22AE">
        <w:rPr>
          <w:rStyle w:val="mixed-citation"/>
          <w:rFonts w:ascii="Times New Roman" w:hAnsi="Times New Roman" w:cs="Times New Roman"/>
          <w:sz w:val="28"/>
          <w:szCs w:val="28"/>
        </w:rPr>
        <w:t xml:space="preserve">. </w:t>
      </w:r>
      <w:r w:rsidRPr="00CF22AE">
        <w:rPr>
          <w:rStyle w:val="ref-journal"/>
          <w:rFonts w:ascii="Times New Roman" w:hAnsi="Times New Roman" w:cs="Times New Roman"/>
          <w:sz w:val="28"/>
          <w:szCs w:val="28"/>
        </w:rPr>
        <w:t>Journal of Taibah University for Science</w:t>
      </w:r>
      <w:r w:rsidRPr="00CF22AE">
        <w:rPr>
          <w:rStyle w:val="mixed-citation"/>
          <w:rFonts w:ascii="Times New Roman" w:hAnsi="Times New Roman" w:cs="Times New Roman"/>
          <w:sz w:val="28"/>
          <w:szCs w:val="28"/>
        </w:rPr>
        <w:t xml:space="preserve">, </w:t>
      </w:r>
      <w:r w:rsidRPr="00CF22AE">
        <w:rPr>
          <w:rStyle w:val="ref-vol"/>
          <w:rFonts w:ascii="Times New Roman" w:hAnsi="Times New Roman" w:cs="Times New Roman"/>
          <w:sz w:val="28"/>
          <w:szCs w:val="28"/>
        </w:rPr>
        <w:t>11</w:t>
      </w:r>
      <w:r w:rsidRPr="00CF22AE">
        <w:rPr>
          <w:rStyle w:val="mixed-citation"/>
          <w:rFonts w:ascii="Times New Roman" w:hAnsi="Times New Roman" w:cs="Times New Roman"/>
          <w:sz w:val="28"/>
          <w:szCs w:val="28"/>
        </w:rPr>
        <w:t>(</w:t>
      </w:r>
      <w:r w:rsidRPr="00CF22AE">
        <w:rPr>
          <w:rStyle w:val="ref-iss"/>
          <w:rFonts w:ascii="Times New Roman" w:hAnsi="Times New Roman" w:cs="Times New Roman"/>
          <w:sz w:val="28"/>
          <w:szCs w:val="28"/>
        </w:rPr>
        <w:t>3</w:t>
      </w:r>
      <w:r w:rsidRPr="00CF22AE">
        <w:rPr>
          <w:rStyle w:val="mixed-citation"/>
          <w:rFonts w:ascii="Times New Roman" w:hAnsi="Times New Roman" w:cs="Times New Roman"/>
          <w:sz w:val="28"/>
          <w:szCs w:val="28"/>
        </w:rPr>
        <w:t>), 450–457.</w:t>
      </w:r>
    </w:p>
    <w:p w:rsidR="009D54FE" w:rsidRPr="00CF22AE" w:rsidRDefault="009A2D70" w:rsidP="00DB7D0E">
      <w:pPr>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9. </w:t>
      </w:r>
      <w:hyperlink r:id="rId52" w:history="1">
        <w:r w:rsidRPr="00CF22AE">
          <w:rPr>
            <w:rFonts w:ascii="Times New Roman" w:eastAsia="Times New Roman" w:hAnsi="Times New Roman" w:cs="Times New Roman"/>
            <w:sz w:val="28"/>
            <w:szCs w:val="28"/>
            <w:lang w:eastAsia="uk-UA"/>
          </w:rPr>
          <w:t>S.A.  Ashok</w:t>
        </w:r>
      </w:hyperlink>
      <w:r w:rsidRPr="00CF22AE">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bCs/>
          <w:kern w:val="36"/>
          <w:sz w:val="28"/>
          <w:szCs w:val="28"/>
          <w:lang w:eastAsia="uk-UA"/>
        </w:rPr>
        <w:t>Phytochemical and pharmacological screening of wheatgrass juice (</w:t>
      </w:r>
      <w:r w:rsidRPr="00CF22AE">
        <w:rPr>
          <w:rFonts w:ascii="Times New Roman" w:eastAsia="Times New Roman" w:hAnsi="Times New Roman" w:cs="Times New Roman"/>
          <w:bCs/>
          <w:i/>
          <w:kern w:val="36"/>
          <w:sz w:val="28"/>
          <w:szCs w:val="28"/>
          <w:lang w:eastAsia="uk-UA"/>
        </w:rPr>
        <w:t>Triticum aestivum L.)</w:t>
      </w:r>
      <w:r w:rsidRPr="00CF22AE">
        <w:rPr>
          <w:rFonts w:ascii="Times New Roman" w:eastAsia="Times New Roman" w:hAnsi="Times New Roman" w:cs="Times New Roman"/>
          <w:sz w:val="28"/>
          <w:szCs w:val="28"/>
          <w:lang w:eastAsia="uk-UA"/>
        </w:rPr>
        <w:t xml:space="preserve"> </w:t>
      </w:r>
      <w:hyperlink r:id="rId53" w:history="1">
        <w:r w:rsidRPr="00CF22AE">
          <w:rPr>
            <w:rFonts w:ascii="Times New Roman" w:eastAsia="Times New Roman" w:hAnsi="Times New Roman" w:cs="Times New Roman"/>
            <w:i/>
            <w:sz w:val="28"/>
            <w:szCs w:val="28"/>
            <w:lang w:eastAsia="uk-UA"/>
          </w:rPr>
          <w:t>International Journal of Pharmaceutical Sciences Review and Research</w:t>
        </w:r>
      </w:hyperlink>
      <w:r w:rsidRPr="00CF22AE">
        <w:rPr>
          <w:rFonts w:ascii="Times New Roman" w:eastAsia="Times New Roman" w:hAnsi="Times New Roman" w:cs="Times New Roman"/>
          <w:sz w:val="28"/>
          <w:szCs w:val="28"/>
          <w:lang w:eastAsia="uk-UA"/>
        </w:rPr>
        <w:t xml:space="preserve"> 9(1):159-164</w:t>
      </w:r>
    </w:p>
    <w:p w:rsidR="009D54FE" w:rsidRPr="00CF22AE" w:rsidRDefault="009A2D70" w:rsidP="00DB7D0E">
      <w:pPr>
        <w:spacing w:after="0" w:line="360" w:lineRule="auto"/>
        <w:ind w:firstLine="709"/>
        <w:jc w:val="both"/>
        <w:rPr>
          <w:rStyle w:val="ws1"/>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10. M. Nayeem, K.Chauhan A comparative study of anti-oxidative potentials  of wheat grass, sorghum grass and barley grass juices and its anti-diabetic effectiveness  International Journal of Chemical Studies  </w:t>
      </w:r>
      <w:r w:rsidRPr="00CF22AE">
        <w:rPr>
          <w:rFonts w:ascii="Times New Roman" w:hAnsi="Times New Roman" w:cs="Times New Roman"/>
          <w:sz w:val="28"/>
          <w:szCs w:val="28"/>
        </w:rPr>
        <w:t>2019</w:t>
      </w:r>
      <w:r w:rsidRPr="00CF22AE">
        <w:rPr>
          <w:rStyle w:val="ls5"/>
          <w:rFonts w:ascii="Times New Roman" w:hAnsi="Times New Roman" w:cs="Times New Roman"/>
          <w:sz w:val="28"/>
          <w:szCs w:val="28"/>
        </w:rPr>
        <w:t xml:space="preserve">; </w:t>
      </w:r>
      <w:r w:rsidRPr="00CF22AE">
        <w:rPr>
          <w:rFonts w:ascii="Times New Roman" w:hAnsi="Times New Roman" w:cs="Times New Roman"/>
          <w:sz w:val="28"/>
          <w:szCs w:val="28"/>
        </w:rPr>
        <w:t>7(4): 2</w:t>
      </w:r>
      <w:r w:rsidRPr="00CF22AE">
        <w:rPr>
          <w:rStyle w:val="ls6"/>
          <w:rFonts w:ascii="Times New Roman" w:hAnsi="Times New Roman" w:cs="Times New Roman"/>
          <w:sz w:val="28"/>
          <w:szCs w:val="28"/>
        </w:rPr>
        <w:t>336</w:t>
      </w:r>
      <w:r w:rsidRPr="00CF22AE">
        <w:rPr>
          <w:rStyle w:val="ws1"/>
          <w:rFonts w:ascii="Times New Roman" w:hAnsi="Times New Roman" w:cs="Times New Roman"/>
          <w:sz w:val="28"/>
          <w:szCs w:val="28"/>
        </w:rPr>
        <w:t>-2341</w:t>
      </w:r>
    </w:p>
    <w:p w:rsidR="009A2D70" w:rsidRPr="00CF22AE" w:rsidRDefault="00D27767" w:rsidP="00DB7D0E">
      <w:pPr>
        <w:spacing w:after="0" w:line="360" w:lineRule="auto"/>
        <w:ind w:firstLine="709"/>
        <w:jc w:val="both"/>
        <w:rPr>
          <w:rFonts w:ascii="Times New Roman" w:eastAsia="Times New Roman" w:hAnsi="Times New Roman" w:cs="Times New Roman"/>
          <w:sz w:val="28"/>
          <w:szCs w:val="28"/>
          <w:lang w:eastAsia="uk-UA"/>
        </w:rPr>
      </w:pPr>
      <w:r w:rsidRPr="00CF22AE">
        <w:rPr>
          <w:rStyle w:val="ws1"/>
          <w:rFonts w:ascii="Times New Roman" w:hAnsi="Times New Roman" w:cs="Times New Roman"/>
          <w:sz w:val="28"/>
          <w:szCs w:val="28"/>
        </w:rPr>
        <w:t xml:space="preserve">11. </w:t>
      </w:r>
      <w:r w:rsidRPr="00CF22AE">
        <w:rPr>
          <w:rFonts w:ascii="Times New Roman" w:eastAsia="Times New Roman" w:hAnsi="Times New Roman" w:cs="Times New Roman"/>
          <w:sz w:val="28"/>
          <w:szCs w:val="28"/>
          <w:lang w:eastAsia="uk-UA"/>
        </w:rPr>
        <w:t xml:space="preserve"> </w:t>
      </w:r>
      <w:hyperlink r:id="rId54" w:history="1">
        <w:r w:rsidRPr="00CF22AE">
          <w:rPr>
            <w:rFonts w:ascii="Times New Roman" w:eastAsia="Times New Roman" w:hAnsi="Times New Roman" w:cs="Times New Roman"/>
            <w:sz w:val="28"/>
            <w:szCs w:val="28"/>
            <w:lang w:eastAsia="uk-UA"/>
          </w:rPr>
          <w:t>Priyabrata  Das</w:t>
        </w:r>
      </w:hyperlink>
      <w:r w:rsidRPr="00CF22AE">
        <w:rPr>
          <w:rFonts w:ascii="Times New Roman" w:eastAsia="Times New Roman" w:hAnsi="Times New Roman" w:cs="Times New Roman"/>
          <w:sz w:val="28"/>
          <w:szCs w:val="28"/>
          <w:vertAlign w:val="superscript"/>
          <w:lang w:eastAsia="uk-UA"/>
        </w:rPr>
        <w:t> </w:t>
      </w:r>
      <w:hyperlink r:id="rId55" w:anchor="full-view-affiliation-1" w:tooltip="a Netaji Subhas Chandra Bose Cancer Research Institute , 16 A, Park Lane, Kolkata , West Bengal , India." w:history="1">
        <w:r w:rsidRPr="00CF22AE">
          <w:rPr>
            <w:rFonts w:ascii="Times New Roman" w:eastAsia="Times New Roman" w:hAnsi="Times New Roman" w:cs="Times New Roman"/>
            <w:sz w:val="28"/>
            <w:szCs w:val="28"/>
            <w:vertAlign w:val="superscript"/>
            <w:lang w:eastAsia="uk-UA"/>
          </w:rPr>
          <w:t xml:space="preserve"> </w:t>
        </w:r>
      </w:hyperlink>
      <w:r w:rsidRPr="00CF22AE">
        <w:rPr>
          <w:rFonts w:ascii="Times New Roman" w:eastAsia="Times New Roman" w:hAnsi="Times New Roman" w:cs="Times New Roman"/>
          <w:sz w:val="28"/>
          <w:szCs w:val="28"/>
          <w:lang w:eastAsia="uk-UA"/>
        </w:rPr>
        <w:t>, </w:t>
      </w:r>
      <w:hyperlink r:id="rId56" w:history="1">
        <w:r w:rsidRPr="00CF22AE">
          <w:rPr>
            <w:rFonts w:ascii="Times New Roman" w:eastAsia="Times New Roman" w:hAnsi="Times New Roman" w:cs="Times New Roman"/>
            <w:sz w:val="28"/>
            <w:szCs w:val="28"/>
            <w:lang w:eastAsia="uk-UA"/>
          </w:rPr>
          <w:t>Suvra Mandal</w:t>
        </w:r>
      </w:hyperlink>
      <w:r w:rsidRPr="00CF22AE">
        <w:rPr>
          <w:rFonts w:ascii="Times New Roman" w:eastAsia="Times New Roman" w:hAnsi="Times New Roman" w:cs="Times New Roman"/>
          <w:sz w:val="28"/>
          <w:szCs w:val="28"/>
          <w:vertAlign w:val="superscript"/>
          <w:lang w:eastAsia="uk-UA"/>
        </w:rPr>
        <w:t> </w:t>
      </w:r>
      <w:hyperlink r:id="rId57" w:anchor="full-view-affiliation-1" w:tooltip="a Netaji Subhas Chandra Bose Cancer Research Institute , 16 A, Park Lane, Kolkata , West Bengal , India." w:history="1">
        <w:r w:rsidRPr="00CF22AE">
          <w:rPr>
            <w:rFonts w:ascii="Times New Roman" w:eastAsia="Times New Roman" w:hAnsi="Times New Roman" w:cs="Times New Roman"/>
            <w:sz w:val="28"/>
            <w:szCs w:val="28"/>
            <w:vertAlign w:val="superscript"/>
            <w:lang w:eastAsia="uk-UA"/>
          </w:rPr>
          <w:t xml:space="preserve"> </w:t>
        </w:r>
      </w:hyperlink>
      <w:r w:rsidRPr="00CF22AE">
        <w:rPr>
          <w:rFonts w:ascii="Times New Roman" w:eastAsia="Times New Roman" w:hAnsi="Times New Roman" w:cs="Times New Roman"/>
          <w:sz w:val="28"/>
          <w:szCs w:val="28"/>
          <w:lang w:eastAsia="uk-UA"/>
        </w:rPr>
        <w:t>,  </w:t>
      </w:r>
      <w:hyperlink r:id="rId58" w:history="1">
        <w:r w:rsidRPr="00CF22AE">
          <w:rPr>
            <w:rFonts w:ascii="Times New Roman" w:eastAsia="Times New Roman" w:hAnsi="Times New Roman" w:cs="Times New Roman"/>
            <w:sz w:val="28"/>
            <w:szCs w:val="28"/>
            <w:lang w:eastAsia="uk-UA"/>
          </w:rPr>
          <w:t>Sudeshna Gangopadhyay</w:t>
        </w:r>
      </w:hyperlink>
      <w:r w:rsidRPr="00CF22AE">
        <w:rPr>
          <w:rFonts w:ascii="Times New Roman" w:eastAsia="Times New Roman" w:hAnsi="Times New Roman" w:cs="Times New Roman"/>
          <w:sz w:val="28"/>
          <w:szCs w:val="28"/>
          <w:vertAlign w:val="superscript"/>
          <w:lang w:eastAsia="uk-UA"/>
        </w:rPr>
        <w:t> </w:t>
      </w:r>
      <w:r w:rsidRPr="00CF22AE">
        <w:rPr>
          <w:rFonts w:ascii="Times New Roman" w:eastAsia="Times New Roman" w:hAnsi="Times New Roman" w:cs="Times New Roman"/>
          <w:sz w:val="28"/>
          <w:szCs w:val="28"/>
          <w:lang w:eastAsia="uk-UA"/>
        </w:rPr>
        <w:t>, </w:t>
      </w:r>
      <w:hyperlink r:id="rId59" w:history="1">
        <w:r w:rsidRPr="00CF22AE">
          <w:rPr>
            <w:rFonts w:ascii="Times New Roman" w:eastAsia="Times New Roman" w:hAnsi="Times New Roman" w:cs="Times New Roman"/>
            <w:sz w:val="28"/>
            <w:szCs w:val="28"/>
            <w:lang w:eastAsia="uk-UA"/>
          </w:rPr>
          <w:t>Kalipada Das</w:t>
        </w:r>
      </w:hyperlink>
      <w:r w:rsidRPr="00CF22AE">
        <w:rPr>
          <w:rFonts w:ascii="Times New Roman" w:eastAsia="Times New Roman" w:hAnsi="Times New Roman" w:cs="Times New Roman"/>
          <w:sz w:val="28"/>
          <w:szCs w:val="28"/>
          <w:vertAlign w:val="superscript"/>
          <w:lang w:eastAsia="uk-UA"/>
        </w:rPr>
        <w:t> </w:t>
      </w:r>
      <w:r w:rsidRPr="00CF22AE">
        <w:rPr>
          <w:rFonts w:ascii="Times New Roman" w:eastAsia="Times New Roman" w:hAnsi="Times New Roman" w:cs="Times New Roman"/>
          <w:sz w:val="28"/>
          <w:szCs w:val="28"/>
          <w:lang w:eastAsia="uk-UA"/>
        </w:rPr>
        <w:t>, </w:t>
      </w:r>
      <w:hyperlink r:id="rId60" w:history="1">
        <w:r w:rsidRPr="00CF22AE">
          <w:rPr>
            <w:rFonts w:ascii="Times New Roman" w:eastAsia="Times New Roman" w:hAnsi="Times New Roman" w:cs="Times New Roman"/>
            <w:sz w:val="28"/>
            <w:szCs w:val="28"/>
            <w:lang w:eastAsia="uk-UA"/>
          </w:rPr>
          <w:t>Arpita Ghosh Mitra</w:t>
        </w:r>
      </w:hyperlink>
      <w:r w:rsidRPr="00CF22AE">
        <w:rPr>
          <w:rFonts w:ascii="Times New Roman" w:eastAsia="Times New Roman" w:hAnsi="Times New Roman" w:cs="Times New Roman"/>
          <w:sz w:val="28"/>
          <w:szCs w:val="28"/>
          <w:vertAlign w:val="superscript"/>
          <w:lang w:eastAsia="uk-UA"/>
        </w:rPr>
        <w:t> </w:t>
      </w:r>
      <w:hyperlink r:id="rId61" w:anchor="full-view-affiliation-3" w:tooltip="c Medica Superspeciality Hospital, Mukundapur , Kolkata , West Bengal , India." w:history="1">
        <w:r w:rsidRPr="00CF22AE">
          <w:rPr>
            <w:rFonts w:ascii="Times New Roman" w:eastAsia="Times New Roman" w:hAnsi="Times New Roman" w:cs="Times New Roman"/>
            <w:sz w:val="28"/>
            <w:szCs w:val="28"/>
            <w:vertAlign w:val="superscript"/>
            <w:lang w:eastAsia="uk-UA"/>
          </w:rPr>
          <w:t xml:space="preserve"> </w:t>
        </w:r>
      </w:hyperlink>
      <w:r w:rsidRPr="00CF22AE">
        <w:rPr>
          <w:rFonts w:ascii="Times New Roman" w:eastAsia="Times New Roman" w:hAnsi="Times New Roman" w:cs="Times New Roman"/>
          <w:sz w:val="28"/>
          <w:szCs w:val="28"/>
          <w:lang w:eastAsia="uk-UA"/>
        </w:rPr>
        <w:t>, </w:t>
      </w:r>
      <w:hyperlink r:id="rId62" w:history="1">
        <w:r w:rsidRPr="00CF22AE">
          <w:rPr>
            <w:rFonts w:ascii="Times New Roman" w:eastAsia="Times New Roman" w:hAnsi="Times New Roman" w:cs="Times New Roman"/>
            <w:sz w:val="28"/>
            <w:szCs w:val="28"/>
            <w:lang w:eastAsia="uk-UA"/>
          </w:rPr>
          <w:t>Swati Dasgupta</w:t>
        </w:r>
      </w:hyperlink>
      <w:r w:rsidRPr="00CF22AE">
        <w:rPr>
          <w:rFonts w:ascii="Times New Roman" w:eastAsia="Times New Roman" w:hAnsi="Times New Roman" w:cs="Times New Roman"/>
          <w:sz w:val="28"/>
          <w:szCs w:val="28"/>
          <w:vertAlign w:val="superscript"/>
          <w:lang w:eastAsia="uk-UA"/>
        </w:rPr>
        <w:t> </w:t>
      </w:r>
      <w:r w:rsidRPr="00CF22AE">
        <w:rPr>
          <w:rFonts w:ascii="Times New Roman" w:eastAsia="Times New Roman" w:hAnsi="Times New Roman" w:cs="Times New Roman"/>
          <w:sz w:val="28"/>
          <w:szCs w:val="28"/>
          <w:lang w:eastAsia="uk-UA"/>
        </w:rPr>
        <w:t>, </w:t>
      </w:r>
      <w:hyperlink r:id="rId63" w:history="1">
        <w:r w:rsidRPr="00CF22AE">
          <w:rPr>
            <w:rFonts w:ascii="Times New Roman" w:eastAsia="Times New Roman" w:hAnsi="Times New Roman" w:cs="Times New Roman"/>
            <w:sz w:val="28"/>
            <w:szCs w:val="28"/>
            <w:lang w:eastAsia="uk-UA"/>
          </w:rPr>
          <w:t>Soma Mukhopadhyay</w:t>
        </w:r>
      </w:hyperlink>
      <w:r w:rsidRPr="00CF22AE">
        <w:rPr>
          <w:rFonts w:ascii="Times New Roman" w:eastAsia="Times New Roman" w:hAnsi="Times New Roman" w:cs="Times New Roman"/>
          <w:sz w:val="28"/>
          <w:szCs w:val="28"/>
          <w:vertAlign w:val="superscript"/>
          <w:lang w:eastAsia="uk-UA"/>
        </w:rPr>
        <w:t> </w:t>
      </w:r>
      <w:hyperlink r:id="rId64" w:anchor="full-view-affiliation-1" w:tooltip="a Netaji Subhas Chandra Bose Cancer Research Institute , 16 A, Park Lane, Kolkata , West Bengal , India." w:history="1">
        <w:r w:rsidRPr="00CF22AE">
          <w:rPr>
            <w:rFonts w:ascii="Times New Roman" w:eastAsia="Times New Roman" w:hAnsi="Times New Roman" w:cs="Times New Roman"/>
            <w:sz w:val="28"/>
            <w:szCs w:val="28"/>
            <w:vertAlign w:val="superscript"/>
            <w:lang w:eastAsia="uk-UA"/>
          </w:rPr>
          <w:t xml:space="preserve"> </w:t>
        </w:r>
      </w:hyperlink>
      <w:r w:rsidRPr="00CF22AE">
        <w:rPr>
          <w:rFonts w:ascii="Times New Roman" w:eastAsia="Times New Roman" w:hAnsi="Times New Roman" w:cs="Times New Roman"/>
          <w:sz w:val="28"/>
          <w:szCs w:val="28"/>
          <w:lang w:eastAsia="uk-UA"/>
        </w:rPr>
        <w:t>, </w:t>
      </w:r>
      <w:hyperlink r:id="rId65" w:history="1">
        <w:r w:rsidRPr="00CF22AE">
          <w:rPr>
            <w:rFonts w:ascii="Times New Roman" w:eastAsia="Times New Roman" w:hAnsi="Times New Roman" w:cs="Times New Roman"/>
            <w:sz w:val="28"/>
            <w:szCs w:val="28"/>
            <w:lang w:eastAsia="uk-UA"/>
          </w:rPr>
          <w:t>Ashis Mukhopadhyay</w:t>
        </w:r>
      </w:hyperlink>
      <w:r w:rsidRPr="00CF22AE">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bCs/>
          <w:kern w:val="36"/>
          <w:sz w:val="28"/>
          <w:szCs w:val="28"/>
          <w:lang w:eastAsia="uk-UA"/>
        </w:rPr>
        <w:t>Antioxidative and anticarcinogenic activities of methylpheophorbide a, isolated from wheat grass (</w:t>
      </w:r>
      <w:r w:rsidRPr="00CF22AE">
        <w:rPr>
          <w:rFonts w:ascii="Times New Roman" w:eastAsia="Times New Roman" w:hAnsi="Times New Roman" w:cs="Times New Roman"/>
          <w:bCs/>
          <w:i/>
          <w:kern w:val="36"/>
          <w:sz w:val="28"/>
          <w:szCs w:val="28"/>
          <w:lang w:eastAsia="uk-UA"/>
        </w:rPr>
        <w:t>Triticum aestivum Linn.)</w:t>
      </w:r>
      <w:r w:rsidRPr="00CF22AE">
        <w:rPr>
          <w:rFonts w:ascii="Times New Roman" w:eastAsia="Times New Roman" w:hAnsi="Times New Roman" w:cs="Times New Roman"/>
          <w:bCs/>
          <w:kern w:val="36"/>
          <w:sz w:val="28"/>
          <w:szCs w:val="28"/>
          <w:lang w:eastAsia="uk-UA"/>
        </w:rPr>
        <w:t xml:space="preserve"> </w:t>
      </w:r>
      <w:r w:rsidRPr="00CF22AE">
        <w:rPr>
          <w:rStyle w:val="docsum-journal-citation"/>
          <w:rFonts w:ascii="Times New Roman" w:hAnsi="Times New Roman" w:cs="Times New Roman"/>
          <w:sz w:val="28"/>
          <w:szCs w:val="28"/>
        </w:rPr>
        <w:t>Nat Prod Res. 2016;30(4):474-4777. doi: 10.1080/14786419.2015.1022775.</w:t>
      </w:r>
    </w:p>
    <w:p w:rsidR="004A2E1A" w:rsidRPr="00CF22AE" w:rsidRDefault="009A2D70" w:rsidP="00DB7D0E">
      <w:pPr>
        <w:pStyle w:val="a3"/>
        <w:spacing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1</w:t>
      </w:r>
      <w:r w:rsidR="00D27767" w:rsidRPr="00CF22AE">
        <w:rPr>
          <w:rFonts w:ascii="Times New Roman" w:eastAsia="Times New Roman" w:hAnsi="Times New Roman" w:cs="Times New Roman"/>
          <w:sz w:val="28"/>
          <w:szCs w:val="28"/>
          <w:lang w:eastAsia="uk-UA"/>
        </w:rPr>
        <w:t>2</w:t>
      </w:r>
      <w:r w:rsidR="004A2E1A" w:rsidRPr="00CF22AE">
        <w:rPr>
          <w:rFonts w:ascii="Times New Roman" w:eastAsia="Times New Roman" w:hAnsi="Times New Roman" w:cs="Times New Roman"/>
          <w:sz w:val="28"/>
          <w:szCs w:val="28"/>
          <w:lang w:eastAsia="uk-UA"/>
        </w:rPr>
        <w:t xml:space="preserve">. </w:t>
      </w:r>
      <w:hyperlink r:id="rId66" w:history="1">
        <w:r w:rsidR="004A2E1A" w:rsidRPr="00CF22AE">
          <w:rPr>
            <w:rFonts w:ascii="Times New Roman" w:eastAsia="Times New Roman" w:hAnsi="Times New Roman" w:cs="Times New Roman"/>
            <w:sz w:val="28"/>
            <w:szCs w:val="28"/>
            <w:lang w:eastAsia="uk-UA"/>
          </w:rPr>
          <w:t>Gil Bar-Sela</w:t>
        </w:r>
      </w:hyperlink>
      <w:r w:rsidR="004A2E1A" w:rsidRPr="00CF22AE">
        <w:rPr>
          <w:rFonts w:ascii="Times New Roman" w:eastAsia="Times New Roman" w:hAnsi="Times New Roman" w:cs="Times New Roman"/>
          <w:sz w:val="28"/>
          <w:szCs w:val="28"/>
          <w:vertAlign w:val="superscript"/>
          <w:lang w:eastAsia="uk-UA"/>
        </w:rPr>
        <w:t xml:space="preserve"> </w:t>
      </w:r>
      <w:r w:rsidR="004A2E1A" w:rsidRPr="00CF22AE">
        <w:rPr>
          <w:rFonts w:ascii="Times New Roman" w:eastAsia="Times New Roman" w:hAnsi="Times New Roman" w:cs="Times New Roman"/>
          <w:sz w:val="28"/>
          <w:szCs w:val="28"/>
          <w:lang w:eastAsia="uk-UA"/>
        </w:rPr>
        <w:t>, </w:t>
      </w:r>
      <w:hyperlink r:id="rId67" w:history="1">
        <w:r w:rsidR="004A2E1A" w:rsidRPr="00CF22AE">
          <w:rPr>
            <w:rFonts w:ascii="Times New Roman" w:eastAsia="Times New Roman" w:hAnsi="Times New Roman" w:cs="Times New Roman"/>
            <w:sz w:val="28"/>
            <w:szCs w:val="28"/>
            <w:lang w:eastAsia="uk-UA"/>
          </w:rPr>
          <w:t>Miri Cohen</w:t>
        </w:r>
      </w:hyperlink>
      <w:r w:rsidR="004A2E1A" w:rsidRPr="00CF22AE">
        <w:rPr>
          <w:rFonts w:ascii="Times New Roman" w:eastAsia="Times New Roman" w:hAnsi="Times New Roman" w:cs="Times New Roman"/>
          <w:sz w:val="28"/>
          <w:szCs w:val="28"/>
          <w:lang w:eastAsia="uk-UA"/>
        </w:rPr>
        <w:t>, </w:t>
      </w:r>
      <w:hyperlink r:id="rId68" w:history="1">
        <w:r w:rsidR="004A2E1A" w:rsidRPr="00CF22AE">
          <w:rPr>
            <w:rFonts w:ascii="Times New Roman" w:eastAsia="Times New Roman" w:hAnsi="Times New Roman" w:cs="Times New Roman"/>
            <w:sz w:val="28"/>
            <w:szCs w:val="28"/>
            <w:lang w:eastAsia="uk-UA"/>
          </w:rPr>
          <w:t>Eran Ben-Arye</w:t>
        </w:r>
      </w:hyperlink>
      <w:r w:rsidR="004A2E1A" w:rsidRPr="00CF22AE">
        <w:rPr>
          <w:rFonts w:ascii="Times New Roman" w:eastAsia="Times New Roman" w:hAnsi="Times New Roman" w:cs="Times New Roman"/>
          <w:sz w:val="28"/>
          <w:szCs w:val="28"/>
          <w:lang w:eastAsia="uk-UA"/>
        </w:rPr>
        <w:t>, </w:t>
      </w:r>
      <w:hyperlink r:id="rId69" w:history="1">
        <w:r w:rsidR="004A2E1A" w:rsidRPr="00CF22AE">
          <w:rPr>
            <w:rFonts w:ascii="Times New Roman" w:eastAsia="Times New Roman" w:hAnsi="Times New Roman" w:cs="Times New Roman"/>
            <w:sz w:val="28"/>
            <w:szCs w:val="28"/>
            <w:lang w:eastAsia="uk-UA"/>
          </w:rPr>
          <w:t>Ron Epelbaum</w:t>
        </w:r>
      </w:hyperlink>
      <w:r w:rsidR="004A2E1A" w:rsidRPr="00CF22AE">
        <w:rPr>
          <w:rFonts w:ascii="Times New Roman" w:eastAsia="Times New Roman" w:hAnsi="Times New Roman" w:cs="Times New Roman"/>
          <w:sz w:val="28"/>
          <w:szCs w:val="28"/>
          <w:lang w:eastAsia="uk-UA"/>
        </w:rPr>
        <w:t xml:space="preserve"> </w:t>
      </w:r>
      <w:r w:rsidR="004A2E1A" w:rsidRPr="00CF22AE">
        <w:rPr>
          <w:rFonts w:ascii="Times New Roman" w:eastAsia="Times New Roman" w:hAnsi="Times New Roman" w:cs="Times New Roman"/>
          <w:bCs/>
          <w:kern w:val="36"/>
          <w:sz w:val="28"/>
          <w:szCs w:val="28"/>
          <w:lang w:eastAsia="uk-UA"/>
        </w:rPr>
        <w:t xml:space="preserve">The medical use of wheatgrass: Review of the gap between basic and clinical applications </w:t>
      </w:r>
      <w:r w:rsidR="004A2E1A" w:rsidRPr="00CF22AE">
        <w:rPr>
          <w:rFonts w:ascii="Times New Roman" w:eastAsia="Times New Roman" w:hAnsi="Times New Roman" w:cs="Times New Roman"/>
          <w:sz w:val="28"/>
          <w:szCs w:val="28"/>
          <w:lang w:eastAsia="uk-UA"/>
        </w:rPr>
        <w:t>Mini Rev Med Chem 2015;15(12):1002-1010.  doi: 10.2174/138955751512150731112836</w:t>
      </w:r>
    </w:p>
    <w:p w:rsidR="00D23561" w:rsidRPr="00CF22AE" w:rsidRDefault="00D27767" w:rsidP="00DB7D0E">
      <w:pPr>
        <w:spacing w:after="0" w:line="360" w:lineRule="auto"/>
        <w:ind w:firstLine="709"/>
        <w:jc w:val="both"/>
        <w:rPr>
          <w:rFonts w:ascii="Times New Roman" w:eastAsia="Times New Roman" w:hAnsi="Times New Roman" w:cs="Times New Roman"/>
          <w:sz w:val="24"/>
          <w:szCs w:val="24"/>
          <w:lang w:eastAsia="uk-UA"/>
        </w:rPr>
      </w:pPr>
      <w:r w:rsidRPr="00CF22AE">
        <w:rPr>
          <w:rFonts w:ascii="Times New Roman" w:eastAsia="Times New Roman" w:hAnsi="Times New Roman" w:cs="Times New Roman"/>
          <w:sz w:val="28"/>
          <w:szCs w:val="28"/>
          <w:lang w:eastAsia="uk-UA"/>
        </w:rPr>
        <w:t xml:space="preserve">13. </w:t>
      </w:r>
      <w:hyperlink r:id="rId70" w:history="1">
        <w:r w:rsidRPr="00CF22AE">
          <w:rPr>
            <w:rFonts w:ascii="Times New Roman" w:eastAsia="Times New Roman" w:hAnsi="Times New Roman" w:cs="Times New Roman"/>
            <w:sz w:val="28"/>
            <w:szCs w:val="28"/>
            <w:lang w:eastAsia="uk-UA"/>
          </w:rPr>
          <w:t>Anand Rajoria</w:t>
        </w:r>
      </w:hyperlink>
      <w:r w:rsidRPr="00CF22AE">
        <w:rPr>
          <w:rFonts w:ascii="Times New Roman" w:eastAsia="Times New Roman" w:hAnsi="Times New Roman" w:cs="Times New Roman"/>
          <w:sz w:val="28"/>
          <w:szCs w:val="28"/>
          <w:lang w:eastAsia="uk-UA"/>
        </w:rPr>
        <w:t>,  </w:t>
      </w:r>
      <w:hyperlink r:id="rId71" w:history="1">
        <w:r w:rsidRPr="00CF22AE">
          <w:rPr>
            <w:rFonts w:ascii="Times New Roman" w:eastAsia="Times New Roman" w:hAnsi="Times New Roman" w:cs="Times New Roman"/>
            <w:sz w:val="28"/>
            <w:szCs w:val="28"/>
            <w:lang w:eastAsia="uk-UA"/>
          </w:rPr>
          <w:t>Archana Mehta</w:t>
        </w:r>
      </w:hyperlink>
      <w:r w:rsidRPr="00CF22AE">
        <w:rPr>
          <w:rFonts w:ascii="Times New Roman" w:eastAsia="Times New Roman" w:hAnsi="Times New Roman" w:cs="Times New Roman"/>
          <w:sz w:val="28"/>
          <w:szCs w:val="28"/>
          <w:lang w:eastAsia="uk-UA"/>
        </w:rPr>
        <w:t>, </w:t>
      </w:r>
      <w:hyperlink r:id="rId72" w:history="1">
        <w:r w:rsidRPr="00CF22AE">
          <w:rPr>
            <w:rFonts w:ascii="Times New Roman" w:eastAsia="Times New Roman" w:hAnsi="Times New Roman" w:cs="Times New Roman"/>
            <w:sz w:val="28"/>
            <w:szCs w:val="28"/>
            <w:lang w:eastAsia="uk-UA"/>
          </w:rPr>
          <w:t>Pradeep Mehta</w:t>
        </w:r>
      </w:hyperlink>
      <w:r w:rsidRPr="00CF22AE">
        <w:rPr>
          <w:rFonts w:ascii="Times New Roman" w:eastAsia="Times New Roman" w:hAnsi="Times New Roman" w:cs="Times New Roman"/>
          <w:sz w:val="28"/>
          <w:szCs w:val="28"/>
          <w:vertAlign w:val="superscript"/>
          <w:lang w:eastAsia="uk-UA"/>
        </w:rPr>
        <w:t> </w:t>
      </w:r>
      <w:r w:rsidRPr="00CF22AE">
        <w:rPr>
          <w:rFonts w:ascii="Times New Roman" w:eastAsia="Times New Roman" w:hAnsi="Times New Roman" w:cs="Times New Roman"/>
          <w:sz w:val="28"/>
          <w:szCs w:val="28"/>
          <w:lang w:eastAsia="uk-UA"/>
        </w:rPr>
        <w:t>, </w:t>
      </w:r>
      <w:hyperlink r:id="rId73" w:history="1">
        <w:r w:rsidRPr="00CF22AE">
          <w:rPr>
            <w:rFonts w:ascii="Times New Roman" w:eastAsia="Times New Roman" w:hAnsi="Times New Roman" w:cs="Times New Roman"/>
            <w:sz w:val="28"/>
            <w:szCs w:val="28"/>
            <w:lang w:eastAsia="uk-UA"/>
          </w:rPr>
          <w:t>Laxmi Ahirwal</w:t>
        </w:r>
      </w:hyperlink>
      <w:r w:rsidRPr="00CF22AE">
        <w:rPr>
          <w:rFonts w:ascii="Times New Roman" w:eastAsia="Times New Roman" w:hAnsi="Times New Roman" w:cs="Times New Roman"/>
          <w:sz w:val="28"/>
          <w:szCs w:val="28"/>
          <w:lang w:eastAsia="uk-UA"/>
        </w:rPr>
        <w:t>, </w:t>
      </w:r>
      <w:hyperlink r:id="rId74" w:history="1">
        <w:r w:rsidRPr="00CF22AE">
          <w:rPr>
            <w:rFonts w:ascii="Times New Roman" w:eastAsia="Times New Roman" w:hAnsi="Times New Roman" w:cs="Times New Roman"/>
            <w:sz w:val="28"/>
            <w:szCs w:val="28"/>
            <w:lang w:eastAsia="uk-UA"/>
          </w:rPr>
          <w:t>Shruti Shukla</w:t>
        </w:r>
      </w:hyperlink>
      <w:r w:rsidRPr="00CF22AE">
        <w:rPr>
          <w:rFonts w:ascii="Times New Roman" w:eastAsia="Times New Roman" w:hAnsi="Times New Roman" w:cs="Times New Roman"/>
          <w:sz w:val="28"/>
          <w:szCs w:val="28"/>
          <w:vertAlign w:val="superscript"/>
          <w:lang w:eastAsia="uk-UA"/>
        </w:rPr>
        <w:t> </w:t>
      </w:r>
      <w:r w:rsidRPr="00CF22AE">
        <w:rPr>
          <w:rFonts w:ascii="Times New Roman" w:eastAsia="Times New Roman" w:hAnsi="Times New Roman" w:cs="Times New Roman"/>
          <w:sz w:val="28"/>
          <w:szCs w:val="28"/>
          <w:lang w:eastAsia="uk-UA"/>
        </w:rPr>
        <w:t>, </w:t>
      </w:r>
      <w:hyperlink r:id="rId75" w:history="1">
        <w:r w:rsidRPr="00CF22AE">
          <w:rPr>
            <w:rFonts w:ascii="Times New Roman" w:eastAsia="Times New Roman" w:hAnsi="Times New Roman" w:cs="Times New Roman"/>
            <w:sz w:val="28"/>
            <w:szCs w:val="28"/>
            <w:lang w:eastAsia="uk-UA"/>
          </w:rPr>
          <w:t>Vivek K Bajpai</w:t>
        </w:r>
      </w:hyperlink>
      <w:r w:rsidRPr="00CF22AE">
        <w:rPr>
          <w:rFonts w:ascii="Times New Roman" w:eastAsia="Times New Roman" w:hAnsi="Times New Roman" w:cs="Times New Roman"/>
          <w:sz w:val="28"/>
          <w:szCs w:val="28"/>
          <w:vertAlign w:val="superscript"/>
          <w:lang w:eastAsia="uk-UA"/>
        </w:rPr>
        <w:t xml:space="preserve">  </w:t>
      </w:r>
      <w:r w:rsidRPr="00CF22AE">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bCs/>
          <w:kern w:val="36"/>
          <w:sz w:val="28"/>
          <w:szCs w:val="28"/>
          <w:lang w:eastAsia="uk-UA"/>
        </w:rPr>
        <w:t>Evaluation of antiproliferative and hepatoprotective effects of wheat grass (</w:t>
      </w:r>
      <w:r w:rsidRPr="00CF22AE">
        <w:rPr>
          <w:rFonts w:ascii="Times New Roman" w:eastAsia="Times New Roman" w:hAnsi="Times New Roman" w:cs="Times New Roman"/>
          <w:bCs/>
          <w:i/>
          <w:kern w:val="36"/>
          <w:sz w:val="28"/>
          <w:szCs w:val="28"/>
          <w:lang w:eastAsia="uk-UA"/>
        </w:rPr>
        <w:t>Triticum aestivum</w:t>
      </w:r>
      <w:r w:rsidRPr="00CF22AE">
        <w:rPr>
          <w:rFonts w:ascii="Times New Roman" w:eastAsia="Times New Roman" w:hAnsi="Times New Roman" w:cs="Times New Roman"/>
          <w:bCs/>
          <w:kern w:val="36"/>
          <w:sz w:val="28"/>
          <w:szCs w:val="28"/>
          <w:lang w:eastAsia="uk-UA"/>
        </w:rPr>
        <w:t xml:space="preserve">) </w:t>
      </w:r>
      <w:r w:rsidRPr="00CF22AE">
        <w:rPr>
          <w:rFonts w:ascii="Times New Roman" w:eastAsia="Times New Roman" w:hAnsi="Times New Roman" w:cs="Times New Roman"/>
          <w:sz w:val="28"/>
          <w:szCs w:val="28"/>
          <w:lang w:eastAsia="uk-UA"/>
        </w:rPr>
        <w:t>Acta Biol Hung  2017 Jun;68(2):150-161. doi: 10.1556/018.68.2017.2.3.</w:t>
      </w:r>
    </w:p>
    <w:p w:rsidR="00572463" w:rsidRPr="00CF22AE" w:rsidRDefault="00D23561" w:rsidP="00DB7D0E">
      <w:pPr>
        <w:spacing w:after="0" w:line="360" w:lineRule="auto"/>
        <w:ind w:firstLine="709"/>
        <w:jc w:val="both"/>
        <w:rPr>
          <w:rFonts w:ascii="Times New Roman" w:eastAsia="Times New Roman" w:hAnsi="Times New Roman" w:cs="Times New Roman"/>
          <w:sz w:val="24"/>
          <w:szCs w:val="24"/>
          <w:lang w:eastAsia="uk-UA"/>
        </w:rPr>
      </w:pPr>
      <w:r w:rsidRPr="00CF22AE">
        <w:rPr>
          <w:rFonts w:ascii="Times New Roman" w:eastAsia="Times New Roman" w:hAnsi="Times New Roman" w:cs="Times New Roman"/>
          <w:sz w:val="28"/>
          <w:szCs w:val="28"/>
          <w:lang w:eastAsia="uk-UA"/>
        </w:rPr>
        <w:t>14.</w:t>
      </w:r>
      <w:r w:rsidRPr="00CF22AE">
        <w:rPr>
          <w:rFonts w:ascii="Times New Roman" w:eastAsia="Times New Roman" w:hAnsi="Times New Roman" w:cs="Times New Roman"/>
          <w:sz w:val="24"/>
          <w:szCs w:val="24"/>
          <w:lang w:eastAsia="uk-UA"/>
        </w:rPr>
        <w:t xml:space="preserve"> </w:t>
      </w:r>
      <w:r w:rsidR="00606830" w:rsidRPr="00CF22AE">
        <w:t xml:space="preserve"> </w:t>
      </w:r>
      <w:r w:rsidR="00052B4E" w:rsidRPr="00CF22AE">
        <w:rPr>
          <w:rFonts w:ascii="Times New Roman" w:hAnsi="Times New Roman" w:cs="Times New Roman"/>
          <w:sz w:val="28"/>
          <w:szCs w:val="28"/>
        </w:rPr>
        <w:t xml:space="preserve">ГРІНЧЕНКО, А. А., et al. Розробка складу та технології таблеток для лікування захворювань печінки. </w:t>
      </w:r>
      <w:r w:rsidR="00052B4E" w:rsidRPr="00CF22AE">
        <w:rPr>
          <w:rFonts w:ascii="Times New Roman" w:hAnsi="Times New Roman" w:cs="Times New Roman"/>
          <w:i/>
          <w:iCs/>
          <w:sz w:val="28"/>
          <w:szCs w:val="28"/>
        </w:rPr>
        <w:t>ХІМІЯ, БІО-І ФАРМТЕХНОЛОГІЇ, ЕКОЛОГІЯ ТА ЕКОНОМІКА В ХАРЧОВІЙ, КОСМЕТИЧНІЙ ТА ФАРМАЦЕВТИЧНІЙ ПРОМИСЛОВОСТІ</w:t>
      </w:r>
      <w:r w:rsidR="00052B4E" w:rsidRPr="00CF22AE">
        <w:rPr>
          <w:rFonts w:ascii="Times New Roman" w:hAnsi="Times New Roman" w:cs="Times New Roman"/>
          <w:sz w:val="28"/>
          <w:szCs w:val="28"/>
        </w:rPr>
        <w:t>, 2023, 72.</w:t>
      </w:r>
      <w:r w:rsidR="00052B4E" w:rsidRPr="00CF22AE">
        <w:rPr>
          <w:rFonts w:ascii="Times New Roman" w:hAnsi="Times New Roman" w:cs="Times New Roman"/>
          <w:sz w:val="28"/>
          <w:szCs w:val="28"/>
          <w:u w:val="single"/>
        </w:rPr>
        <w:t xml:space="preserve"> </w:t>
      </w:r>
    </w:p>
    <w:p w:rsidR="00D23561" w:rsidRPr="00CF22AE" w:rsidRDefault="00D23561"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15.Trefts E, Gannon M, Wasserman DH. The liver. Curr Biol. 2017 Nov 6;27(21):R1147-R1151. doi: 10.1016/j.cub.2017.09.019. PMID: 29112863; PMCID: PMC5897118.</w:t>
      </w:r>
    </w:p>
    <w:p w:rsidR="00D23561" w:rsidRPr="00CF22AE" w:rsidRDefault="00D23561"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16. ZHAO, Jiulu, et al. Interorgan communication with the liver: novel mechanisms and therapeutic targets. </w:t>
      </w:r>
      <w:r w:rsidRPr="00CF22AE">
        <w:rPr>
          <w:rFonts w:ascii="Times New Roman" w:eastAsia="Times New Roman" w:hAnsi="Times New Roman" w:cs="Times New Roman"/>
          <w:i/>
          <w:iCs/>
          <w:sz w:val="28"/>
          <w:szCs w:val="28"/>
          <w:lang w:eastAsia="uk-UA"/>
        </w:rPr>
        <w:t>Frontiers in Immunology</w:t>
      </w:r>
      <w:r w:rsidRPr="00CF22AE">
        <w:rPr>
          <w:rFonts w:ascii="Times New Roman" w:eastAsia="Times New Roman" w:hAnsi="Times New Roman" w:cs="Times New Roman"/>
          <w:sz w:val="28"/>
          <w:szCs w:val="28"/>
          <w:lang w:eastAsia="uk-UA"/>
        </w:rPr>
        <w:t>, 2023, 14: 1314123.</w:t>
      </w:r>
      <w:r w:rsidRPr="00CF22AE">
        <w:rPr>
          <w:rFonts w:hAnsi="Symbol"/>
        </w:rPr>
        <w:t xml:space="preserve"> </w:t>
      </w:r>
      <w:r w:rsidRPr="00CF22AE">
        <w:rPr>
          <w:rFonts w:ascii="Times New Roman" w:eastAsia="Times New Roman" w:hAnsi="Times New Roman" w:cs="Times New Roman"/>
          <w:sz w:val="28"/>
          <w:szCs w:val="28"/>
          <w:lang w:eastAsia="uk-UA"/>
        </w:rPr>
        <w:t xml:space="preserve">  DOI: </w:t>
      </w:r>
      <w:hyperlink r:id="rId76" w:tgtFrame="_blank" w:history="1">
        <w:r w:rsidRPr="00CF22AE">
          <w:rPr>
            <w:rStyle w:val="a4"/>
            <w:rFonts w:ascii="Times New Roman" w:eastAsia="Times New Roman" w:hAnsi="Times New Roman" w:cs="Times New Roman"/>
            <w:sz w:val="28"/>
            <w:szCs w:val="28"/>
            <w:lang w:eastAsia="uk-UA"/>
          </w:rPr>
          <w:t xml:space="preserve">10.3389/fimmu.2023.1314123 </w:t>
        </w:r>
      </w:hyperlink>
    </w:p>
    <w:p w:rsidR="00D23561" w:rsidRPr="00CF22AE" w:rsidRDefault="00D23561" w:rsidP="00DB7D0E">
      <w:pPr>
        <w:autoSpaceDE w:val="0"/>
        <w:autoSpaceDN w:val="0"/>
        <w:spacing w:after="0" w:line="360" w:lineRule="auto"/>
        <w:ind w:firstLine="709"/>
        <w:jc w:val="both"/>
        <w:rPr>
          <w:rFonts w:ascii="Times New Roman" w:eastAsia="Times New Roman" w:hAnsi="Times New Roman" w:cs="Times New Roman"/>
          <w:b/>
          <w:bCs/>
          <w:sz w:val="28"/>
          <w:szCs w:val="28"/>
          <w:lang w:eastAsia="uk-UA"/>
        </w:rPr>
      </w:pPr>
      <w:r w:rsidRPr="00CF22AE">
        <w:rPr>
          <w:rFonts w:ascii="Times New Roman" w:eastAsia="Times New Roman" w:hAnsi="Times New Roman" w:cs="Times New Roman"/>
          <w:sz w:val="28"/>
          <w:szCs w:val="28"/>
          <w:lang w:eastAsia="uk-UA"/>
        </w:rPr>
        <w:t xml:space="preserve">17. DELGADO-MONTEMAYOR, Cecilia, et al. Models of hepatoprotective activity assessment. </w:t>
      </w:r>
      <w:r w:rsidRPr="00CF22AE">
        <w:rPr>
          <w:rFonts w:ascii="Times New Roman" w:eastAsia="Times New Roman" w:hAnsi="Times New Roman" w:cs="Times New Roman"/>
          <w:i/>
          <w:iCs/>
          <w:sz w:val="28"/>
          <w:szCs w:val="28"/>
          <w:lang w:eastAsia="uk-UA"/>
        </w:rPr>
        <w:t>Medicina universitaria</w:t>
      </w:r>
      <w:r w:rsidRPr="00CF22AE">
        <w:rPr>
          <w:rFonts w:ascii="Times New Roman" w:eastAsia="Times New Roman" w:hAnsi="Times New Roman" w:cs="Times New Roman"/>
          <w:sz w:val="28"/>
          <w:szCs w:val="28"/>
          <w:lang w:eastAsia="uk-UA"/>
        </w:rPr>
        <w:t xml:space="preserve">, 2015, 17.69: 222-228. </w:t>
      </w:r>
      <w:hyperlink r:id="rId77" w:tgtFrame="_blank" w:tooltip="Постійне посилання з використанням цифрового ідентифікатора об'єкта" w:history="1">
        <w:r w:rsidRPr="00CF22AE">
          <w:rPr>
            <w:rStyle w:val="a4"/>
            <w:rFonts w:ascii="Times New Roman" w:eastAsia="Times New Roman" w:hAnsi="Times New Roman" w:cs="Times New Roman"/>
            <w:sz w:val="28"/>
            <w:szCs w:val="28"/>
            <w:lang w:eastAsia="uk-UA"/>
          </w:rPr>
          <w:t>doi:10.1016/j.rmu.2015.10.002</w:t>
        </w:r>
      </w:hyperlink>
      <w:r w:rsidRPr="00CF22AE">
        <w:rPr>
          <w:rFonts w:ascii="Times New Roman" w:eastAsia="Times New Roman" w:hAnsi="Times New Roman" w:cs="Times New Roman"/>
          <w:sz w:val="28"/>
          <w:szCs w:val="28"/>
          <w:lang w:eastAsia="uk-UA"/>
        </w:rPr>
        <w:t xml:space="preserve"> </w:t>
      </w:r>
    </w:p>
    <w:p w:rsidR="00D23561" w:rsidRPr="00CF22AE" w:rsidRDefault="00D23561"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 xml:space="preserve">18. Ginès, P., Krag, A., Abraldes, J. G., Solà, E., Fabrellas, N., &amp; Kamath, P. S. (2021). Liver cirrhosis. </w:t>
      </w:r>
      <w:r w:rsidRPr="00CF22AE">
        <w:rPr>
          <w:rFonts w:ascii="Times New Roman" w:eastAsia="Times New Roman" w:hAnsi="Times New Roman" w:cs="Times New Roman"/>
          <w:i/>
          <w:iCs/>
          <w:sz w:val="28"/>
          <w:szCs w:val="28"/>
          <w:lang w:eastAsia="uk-UA"/>
        </w:rPr>
        <w:t>The Lancet</w:t>
      </w:r>
      <w:r w:rsidRPr="00CF22AE">
        <w:rPr>
          <w:rFonts w:ascii="Times New Roman" w:eastAsia="Times New Roman" w:hAnsi="Times New Roman" w:cs="Times New Roman"/>
          <w:sz w:val="28"/>
          <w:szCs w:val="28"/>
          <w:lang w:eastAsia="uk-UA"/>
        </w:rPr>
        <w:t xml:space="preserve">, </w:t>
      </w:r>
      <w:r w:rsidRPr="00CF22AE">
        <w:rPr>
          <w:rFonts w:ascii="Times New Roman" w:eastAsia="Times New Roman" w:hAnsi="Times New Roman" w:cs="Times New Roman"/>
          <w:i/>
          <w:iCs/>
          <w:sz w:val="28"/>
          <w:szCs w:val="28"/>
          <w:lang w:eastAsia="uk-UA"/>
        </w:rPr>
        <w:t>398</w:t>
      </w:r>
      <w:r w:rsidRPr="00CF22AE">
        <w:rPr>
          <w:rFonts w:ascii="Times New Roman" w:eastAsia="Times New Roman" w:hAnsi="Times New Roman" w:cs="Times New Roman"/>
          <w:sz w:val="28"/>
          <w:szCs w:val="28"/>
          <w:lang w:eastAsia="uk-UA"/>
        </w:rPr>
        <w:t xml:space="preserve">(10308), 1359-1376. </w:t>
      </w:r>
      <w:hyperlink r:id="rId78" w:history="1">
        <w:r w:rsidRPr="00CF22AE">
          <w:rPr>
            <w:rStyle w:val="a4"/>
            <w:rFonts w:ascii="Times New Roman" w:eastAsia="Times New Roman" w:hAnsi="Times New Roman" w:cs="Times New Roman"/>
            <w:sz w:val="28"/>
            <w:szCs w:val="28"/>
            <w:lang w:eastAsia="uk-UA"/>
          </w:rPr>
          <w:t>https://doi.org/10.1016/S0140-6736(21)01374-X</w:t>
        </w:r>
      </w:hyperlink>
      <w:r w:rsidRPr="00CF22AE">
        <w:rPr>
          <w:rFonts w:ascii="Times New Roman" w:eastAsia="Times New Roman" w:hAnsi="Times New Roman" w:cs="Times New Roman"/>
          <w:sz w:val="28"/>
          <w:szCs w:val="28"/>
          <w:lang w:eastAsia="uk-UA"/>
        </w:rPr>
        <w:t xml:space="preserve"> </w:t>
      </w:r>
    </w:p>
    <w:p w:rsidR="00430BEF" w:rsidRPr="00CF22AE" w:rsidRDefault="00D23561" w:rsidP="00DB7D0E">
      <w:pPr>
        <w:autoSpaceDE w:val="0"/>
        <w:autoSpaceDN w:val="0"/>
        <w:spacing w:after="0" w:line="360" w:lineRule="auto"/>
        <w:ind w:firstLine="709"/>
        <w:jc w:val="both"/>
        <w:rPr>
          <w:rFonts w:ascii="Times New Roman" w:hAnsi="Times New Roman" w:cs="Times New Roman"/>
          <w:sz w:val="28"/>
          <w:szCs w:val="28"/>
        </w:rPr>
      </w:pPr>
      <w:r w:rsidRPr="00CF22AE">
        <w:rPr>
          <w:rFonts w:ascii="Times New Roman" w:eastAsia="Times New Roman" w:hAnsi="Times New Roman" w:cs="Times New Roman"/>
          <w:sz w:val="28"/>
          <w:szCs w:val="28"/>
          <w:lang w:eastAsia="uk-UA"/>
        </w:rPr>
        <w:t xml:space="preserve">19.KIM, Donghee; KIM, W. Ray. Nonobese fatty liver disease. </w:t>
      </w:r>
      <w:r w:rsidRPr="00CF22AE">
        <w:rPr>
          <w:rFonts w:ascii="Times New Roman" w:eastAsia="Times New Roman" w:hAnsi="Times New Roman" w:cs="Times New Roman"/>
          <w:i/>
          <w:iCs/>
          <w:sz w:val="28"/>
          <w:szCs w:val="28"/>
          <w:lang w:eastAsia="uk-UA"/>
        </w:rPr>
        <w:t>Clinical gastroenterology and hepatology</w:t>
      </w:r>
      <w:r w:rsidRPr="00CF22AE">
        <w:rPr>
          <w:rFonts w:ascii="Times New Roman" w:eastAsia="Times New Roman" w:hAnsi="Times New Roman" w:cs="Times New Roman"/>
          <w:sz w:val="28"/>
          <w:szCs w:val="28"/>
          <w:lang w:eastAsia="uk-UA"/>
        </w:rPr>
        <w:t xml:space="preserve">, 2017, 15.4: 474-485.  </w:t>
      </w:r>
      <w:hyperlink r:id="rId79" w:tgtFrame="_blank" w:tooltip="Persistent link using digital object identifier" w:history="1">
        <w:r w:rsidRPr="00CF22AE">
          <w:rPr>
            <w:rStyle w:val="anchor-text"/>
            <w:rFonts w:ascii="Times New Roman" w:hAnsi="Times New Roman" w:cs="Times New Roman"/>
            <w:color w:val="0000FF"/>
            <w:sz w:val="28"/>
            <w:szCs w:val="28"/>
            <w:u w:val="single"/>
          </w:rPr>
          <w:t>https://doi.org/10.1016/j.cgh.2016.08.028</w:t>
        </w:r>
      </w:hyperlink>
      <w:r w:rsidRPr="00CF22AE">
        <w:rPr>
          <w:rFonts w:ascii="Times New Roman" w:hAnsi="Times New Roman" w:cs="Times New Roman"/>
          <w:sz w:val="28"/>
          <w:szCs w:val="28"/>
        </w:rPr>
        <w:t xml:space="preserve"> </w:t>
      </w:r>
    </w:p>
    <w:p w:rsidR="00430BEF" w:rsidRPr="00CF22AE" w:rsidRDefault="00430BEF" w:rsidP="00DB7D0E">
      <w:pPr>
        <w:autoSpaceDE w:val="0"/>
        <w:autoSpaceDN w:val="0"/>
        <w:spacing w:after="0" w:line="360" w:lineRule="auto"/>
        <w:ind w:firstLine="709"/>
        <w:jc w:val="both"/>
        <w:rPr>
          <w:rFonts w:ascii="Times New Roman" w:hAnsi="Times New Roman" w:cs="Times New Roman"/>
          <w:sz w:val="28"/>
          <w:szCs w:val="28"/>
        </w:rPr>
      </w:pPr>
      <w:r w:rsidRPr="00CF22AE">
        <w:rPr>
          <w:rFonts w:ascii="Times New Roman" w:hAnsi="Times New Roman" w:cs="Times New Roman"/>
          <w:color w:val="0D0D0D"/>
          <w:sz w:val="28"/>
          <w:szCs w:val="28"/>
          <w:shd w:val="clear" w:color="auto" w:fill="FFFFFF"/>
        </w:rPr>
        <w:t>20.</w:t>
      </w:r>
      <w:r w:rsidRPr="00CF22AE">
        <w:t xml:space="preserve"> </w:t>
      </w:r>
      <w:r w:rsidRPr="00CF22AE">
        <w:rPr>
          <w:rFonts w:ascii="Times New Roman" w:hAnsi="Times New Roman" w:cs="Times New Roman"/>
          <w:color w:val="0D0D0D"/>
          <w:sz w:val="28"/>
          <w:szCs w:val="28"/>
          <w:shd w:val="clear" w:color="auto" w:fill="FFFFFF"/>
        </w:rPr>
        <w:t>Кутепов, М. І., І. В. Сайко, and Д. П. Солдатов. "Розробка складу та технології капсул з екстрактами куркуми та кульбаби гепатопротекторної дії." (2023).</w:t>
      </w:r>
    </w:p>
    <w:p w:rsidR="00D23561" w:rsidRPr="00CF22AE" w:rsidRDefault="00430BEF"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21</w:t>
      </w:r>
      <w:r w:rsidR="00D23561" w:rsidRPr="00CF22AE">
        <w:rPr>
          <w:rFonts w:ascii="Times New Roman" w:eastAsia="Times New Roman" w:hAnsi="Times New Roman" w:cs="Times New Roman"/>
          <w:sz w:val="28"/>
          <w:szCs w:val="28"/>
          <w:lang w:eastAsia="uk-UA"/>
        </w:rPr>
        <w:t xml:space="preserve">.ЗАХАРОВА, Наталія Михайлівна. ЛІКАРСЬКІ РОСЛИНИ ДЛЯ ЛІКУВАННЯ ЗАХВОРЮВАНЬ ПЕЧІНКИ. </w:t>
      </w:r>
      <w:r w:rsidR="00D23561" w:rsidRPr="00CF22AE">
        <w:rPr>
          <w:rFonts w:ascii="Times New Roman" w:eastAsia="Times New Roman" w:hAnsi="Times New Roman" w:cs="Times New Roman"/>
          <w:i/>
          <w:iCs/>
          <w:sz w:val="28"/>
          <w:szCs w:val="28"/>
          <w:lang w:eastAsia="uk-UA"/>
        </w:rPr>
        <w:t>EDITORIAL BOARD</w:t>
      </w:r>
      <w:r w:rsidR="00D23561" w:rsidRPr="00CF22AE">
        <w:rPr>
          <w:rFonts w:ascii="Times New Roman" w:eastAsia="Times New Roman" w:hAnsi="Times New Roman" w:cs="Times New Roman"/>
          <w:sz w:val="28"/>
          <w:szCs w:val="28"/>
          <w:lang w:eastAsia="uk-UA"/>
        </w:rPr>
        <w:t>, 2022, 733.</w:t>
      </w:r>
    </w:p>
    <w:p w:rsidR="00981F31" w:rsidRPr="00CF22AE" w:rsidRDefault="00430BEF"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22</w:t>
      </w:r>
      <w:r w:rsidR="00981F31" w:rsidRPr="00CF22AE">
        <w:rPr>
          <w:rFonts w:ascii="Times New Roman" w:eastAsia="Times New Roman" w:hAnsi="Times New Roman" w:cs="Times New Roman"/>
          <w:sz w:val="28"/>
          <w:szCs w:val="28"/>
          <w:lang w:eastAsia="uk-UA"/>
        </w:rPr>
        <w:t xml:space="preserve">.VAN DE WIER, Bregje, et al. The potential of flavonoids in the treatment of non-alcoholic fatty liver disease. </w:t>
      </w:r>
      <w:r w:rsidR="00981F31" w:rsidRPr="00CF22AE">
        <w:rPr>
          <w:rFonts w:ascii="Times New Roman" w:eastAsia="Times New Roman" w:hAnsi="Times New Roman" w:cs="Times New Roman"/>
          <w:i/>
          <w:iCs/>
          <w:sz w:val="28"/>
          <w:szCs w:val="28"/>
          <w:lang w:eastAsia="uk-UA"/>
        </w:rPr>
        <w:t>Critical reviews in food science and nutrition</w:t>
      </w:r>
      <w:r w:rsidR="00981F31" w:rsidRPr="00CF22AE">
        <w:rPr>
          <w:rFonts w:ascii="Times New Roman" w:eastAsia="Times New Roman" w:hAnsi="Times New Roman" w:cs="Times New Roman"/>
          <w:sz w:val="28"/>
          <w:szCs w:val="28"/>
          <w:lang w:eastAsia="uk-UA"/>
        </w:rPr>
        <w:t>, 2017, 57.4: 834-855.</w:t>
      </w:r>
    </w:p>
    <w:p w:rsidR="00FF6BA8" w:rsidRPr="00CF22AE" w:rsidRDefault="00430BEF"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23</w:t>
      </w:r>
      <w:r w:rsidR="00981F31" w:rsidRPr="00CF22AE">
        <w:rPr>
          <w:rFonts w:ascii="Times New Roman" w:eastAsia="Times New Roman" w:hAnsi="Times New Roman" w:cs="Times New Roman"/>
          <w:sz w:val="28"/>
          <w:szCs w:val="28"/>
          <w:lang w:eastAsia="uk-UA"/>
        </w:rPr>
        <w:t xml:space="preserve">.Vargas-Mendoza, N., Madrigal-Santillán, E., Morales-González, Á., Esquivel-Soto, J., Esquivel-Chirino, C., y González-Rubio, M. G. L., ... &amp; Morales-González, J. A. (2014). Hepatoprotective effect of silymarin. </w:t>
      </w:r>
      <w:r w:rsidR="00981F31" w:rsidRPr="00CF22AE">
        <w:rPr>
          <w:rFonts w:ascii="Times New Roman" w:eastAsia="Times New Roman" w:hAnsi="Times New Roman" w:cs="Times New Roman"/>
          <w:i/>
          <w:iCs/>
          <w:sz w:val="28"/>
          <w:szCs w:val="28"/>
          <w:lang w:eastAsia="uk-UA"/>
        </w:rPr>
        <w:t>World journal of hepatology</w:t>
      </w:r>
      <w:r w:rsidR="00981F31" w:rsidRPr="00CF22AE">
        <w:rPr>
          <w:rFonts w:ascii="Times New Roman" w:eastAsia="Times New Roman" w:hAnsi="Times New Roman" w:cs="Times New Roman"/>
          <w:sz w:val="28"/>
          <w:szCs w:val="28"/>
          <w:lang w:eastAsia="uk-UA"/>
        </w:rPr>
        <w:t xml:space="preserve">, </w:t>
      </w:r>
      <w:r w:rsidR="00981F31" w:rsidRPr="00CF22AE">
        <w:rPr>
          <w:rFonts w:ascii="Times New Roman" w:eastAsia="Times New Roman" w:hAnsi="Times New Roman" w:cs="Times New Roman"/>
          <w:i/>
          <w:iCs/>
          <w:sz w:val="28"/>
          <w:szCs w:val="28"/>
          <w:lang w:eastAsia="uk-UA"/>
        </w:rPr>
        <w:t>6</w:t>
      </w:r>
      <w:r w:rsidR="00981F31" w:rsidRPr="00CF22AE">
        <w:rPr>
          <w:rFonts w:ascii="Times New Roman" w:eastAsia="Times New Roman" w:hAnsi="Times New Roman" w:cs="Times New Roman"/>
          <w:sz w:val="28"/>
          <w:szCs w:val="28"/>
          <w:lang w:eastAsia="uk-UA"/>
        </w:rPr>
        <w:t>(3), 144. doi: </w:t>
      </w:r>
      <w:hyperlink r:id="rId80" w:tgtFrame="_blank" w:history="1">
        <w:r w:rsidR="00981F31" w:rsidRPr="00CF22AE">
          <w:rPr>
            <w:rStyle w:val="a4"/>
            <w:rFonts w:ascii="Times New Roman" w:eastAsia="Times New Roman" w:hAnsi="Times New Roman" w:cs="Times New Roman"/>
            <w:sz w:val="28"/>
            <w:szCs w:val="28"/>
            <w:lang w:eastAsia="uk-UA"/>
          </w:rPr>
          <w:t>10.4254/wjh.v6.i3.144</w:t>
        </w:r>
      </w:hyperlink>
    </w:p>
    <w:p w:rsidR="00FF6BA8" w:rsidRPr="00CF22AE" w:rsidRDefault="00FF6BA8"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hAnsi="Times New Roman" w:cs="Times New Roman"/>
          <w:sz w:val="28"/>
          <w:szCs w:val="28"/>
        </w:rPr>
        <w:t xml:space="preserve">24. С.М. Марчишин , Н.О. Сушко «Лікарські рослини Тернопільщини» 2007р. 156-158 с. </w:t>
      </w:r>
    </w:p>
    <w:p w:rsidR="00FF6BA8" w:rsidRPr="00CF22AE" w:rsidRDefault="00FF6BA8"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hAnsi="Times New Roman" w:cs="Times New Roman"/>
          <w:sz w:val="28"/>
          <w:szCs w:val="28"/>
        </w:rPr>
        <w:t>25.</w:t>
      </w:r>
      <w:r w:rsidRPr="00CF22AE">
        <w:t xml:space="preserve"> </w:t>
      </w:r>
      <w:r w:rsidRPr="00CF22AE">
        <w:rPr>
          <w:rFonts w:ascii="Times New Roman" w:hAnsi="Times New Roman" w:cs="Times New Roman"/>
          <w:sz w:val="28"/>
          <w:szCs w:val="28"/>
        </w:rPr>
        <w:t>Bortolami, Martina, Paola Di Matteo, Daniele Rocco, Marta Feroci, and Rita Petrucci. 2022. "Metabolic Profile of Agropyron repens (L.) P. Beauv. Rhizome Herbal Tea by HPLC-PDA-ESI-MS/MS Analysis" Molecules 27, no. 15: 4962. https://doi.org/10.3390/molecules27154962</w:t>
      </w:r>
    </w:p>
    <w:p w:rsidR="00667C37" w:rsidRPr="00CF22AE" w:rsidRDefault="00667C37" w:rsidP="00DB7D0E">
      <w:pPr>
        <w:autoSpaceDE w:val="0"/>
        <w:autoSpaceDN w:val="0"/>
        <w:spacing w:after="0" w:line="360" w:lineRule="auto"/>
        <w:ind w:firstLine="709"/>
        <w:jc w:val="both"/>
        <w:rPr>
          <w:rStyle w:val="a4"/>
          <w:rFonts w:ascii="Times New Roman" w:eastAsia="Times New Roman" w:hAnsi="Times New Roman" w:cs="Times New Roman"/>
          <w:color w:val="auto"/>
          <w:sz w:val="28"/>
          <w:szCs w:val="28"/>
          <w:u w:val="none"/>
          <w:lang w:eastAsia="uk-UA"/>
        </w:rPr>
      </w:pPr>
      <w:r w:rsidRPr="00CF22AE">
        <w:rPr>
          <w:rStyle w:val="a4"/>
          <w:rFonts w:ascii="Times New Roman" w:eastAsia="Times New Roman" w:hAnsi="Times New Roman" w:cs="Times New Roman"/>
          <w:color w:val="auto"/>
          <w:sz w:val="28"/>
          <w:szCs w:val="28"/>
          <w:u w:val="none"/>
          <w:lang w:eastAsia="uk-UA"/>
        </w:rPr>
        <w:t>26</w:t>
      </w:r>
      <w:r w:rsidR="001A5C78">
        <w:rPr>
          <w:rStyle w:val="a4"/>
          <w:rFonts w:ascii="Times New Roman" w:eastAsia="Times New Roman" w:hAnsi="Times New Roman" w:cs="Times New Roman"/>
          <w:color w:val="auto"/>
          <w:sz w:val="28"/>
          <w:szCs w:val="28"/>
          <w:u w:val="none"/>
          <w:lang w:eastAsia="uk-UA"/>
        </w:rPr>
        <w:t xml:space="preserve">. </w:t>
      </w:r>
      <w:r w:rsidR="001A5C78" w:rsidRPr="001A5C78">
        <w:rPr>
          <w:rStyle w:val="a4"/>
          <w:rFonts w:ascii="Times New Roman" w:eastAsia="Times New Roman" w:hAnsi="Times New Roman" w:cs="Times New Roman"/>
          <w:color w:val="auto"/>
          <w:sz w:val="28"/>
          <w:szCs w:val="28"/>
          <w:u w:val="none"/>
          <w:lang w:eastAsia="uk-UA"/>
        </w:rPr>
        <w:t>Maciej Sacha</w:t>
      </w:r>
      <w:r w:rsidR="001A5C78">
        <w:rPr>
          <w:rStyle w:val="a4"/>
          <w:rFonts w:ascii="Times New Roman" w:eastAsia="Times New Roman" w:hAnsi="Times New Roman" w:cs="Times New Roman"/>
          <w:color w:val="auto"/>
          <w:sz w:val="28"/>
          <w:szCs w:val="28"/>
          <w:u w:val="none"/>
          <w:lang w:eastAsia="uk-UA"/>
        </w:rPr>
        <w:t>.</w:t>
      </w:r>
      <w:r w:rsidR="001A5C78" w:rsidRPr="001A5C78">
        <w:t xml:space="preserve"> </w:t>
      </w:r>
      <w:r w:rsidR="001A5C78" w:rsidRPr="001A5C78">
        <w:rPr>
          <w:rStyle w:val="a4"/>
          <w:rFonts w:ascii="Times New Roman" w:eastAsia="Times New Roman" w:hAnsi="Times New Roman" w:cs="Times New Roman"/>
          <w:color w:val="auto"/>
          <w:sz w:val="28"/>
          <w:szCs w:val="28"/>
          <w:u w:val="none"/>
          <w:lang w:eastAsia="uk-UA"/>
        </w:rPr>
        <w:t>Portal rolny Farmer.pl</w:t>
      </w:r>
      <w:r w:rsidR="001A5C78">
        <w:rPr>
          <w:rStyle w:val="a4"/>
          <w:rFonts w:ascii="Times New Roman" w:eastAsia="Times New Roman" w:hAnsi="Times New Roman" w:cs="Times New Roman"/>
          <w:color w:val="auto"/>
          <w:sz w:val="28"/>
          <w:szCs w:val="28"/>
          <w:u w:val="none"/>
          <w:lang w:eastAsia="uk-UA"/>
        </w:rPr>
        <w:t xml:space="preserve">. </w:t>
      </w:r>
      <w:r w:rsidR="001A5C78" w:rsidRPr="001A5C78">
        <w:rPr>
          <w:rStyle w:val="a4"/>
          <w:rFonts w:ascii="Times New Roman" w:eastAsia="Times New Roman" w:hAnsi="Times New Roman" w:cs="Times New Roman"/>
          <w:color w:val="auto"/>
          <w:sz w:val="28"/>
          <w:szCs w:val="28"/>
          <w:u w:val="none"/>
          <w:lang w:eastAsia="uk-UA"/>
        </w:rPr>
        <w:t>Perz na ściernisku. Jak sobie z nim poradzić?</w:t>
      </w:r>
      <w:r w:rsidR="001A5C78" w:rsidRPr="001A5C78">
        <w:t xml:space="preserve"> </w:t>
      </w:r>
      <w:r w:rsidR="001A5C78" w:rsidRPr="001A5C78">
        <w:rPr>
          <w:rStyle w:val="a4"/>
          <w:rFonts w:ascii="Times New Roman" w:eastAsia="Times New Roman" w:hAnsi="Times New Roman" w:cs="Times New Roman"/>
          <w:color w:val="auto"/>
          <w:sz w:val="28"/>
          <w:szCs w:val="28"/>
          <w:u w:val="none"/>
          <w:lang w:eastAsia="uk-UA"/>
        </w:rPr>
        <w:t>05-09-2023</w:t>
      </w:r>
      <w:r w:rsidR="001A5C78">
        <w:rPr>
          <w:rStyle w:val="a4"/>
          <w:rFonts w:ascii="Times New Roman" w:eastAsia="Times New Roman" w:hAnsi="Times New Roman" w:cs="Times New Roman"/>
          <w:color w:val="auto"/>
          <w:sz w:val="28"/>
          <w:szCs w:val="28"/>
          <w:u w:val="none"/>
          <w:lang w:eastAsia="uk-UA"/>
        </w:rPr>
        <w:t xml:space="preserve">. </w:t>
      </w:r>
      <w:hyperlink r:id="rId81" w:history="1">
        <w:r w:rsidR="001A5C78" w:rsidRPr="0083281F">
          <w:rPr>
            <w:rStyle w:val="a4"/>
            <w:rFonts w:ascii="Times New Roman" w:eastAsia="Times New Roman" w:hAnsi="Times New Roman" w:cs="Times New Roman"/>
            <w:sz w:val="28"/>
            <w:szCs w:val="28"/>
            <w:lang w:eastAsia="uk-UA"/>
          </w:rPr>
          <w:t>https://www.farmer.pl/produkcja-roslinna/ochrona-roslin/perz-na-sciernisku-jak-sobie-z-nim-poradzic,135589.html</w:t>
        </w:r>
      </w:hyperlink>
      <w:r w:rsidR="001A5C78">
        <w:rPr>
          <w:rStyle w:val="a4"/>
          <w:rFonts w:ascii="Times New Roman" w:eastAsia="Times New Roman" w:hAnsi="Times New Roman" w:cs="Times New Roman"/>
          <w:color w:val="auto"/>
          <w:sz w:val="28"/>
          <w:szCs w:val="28"/>
          <w:u w:val="none"/>
          <w:lang w:eastAsia="uk-UA"/>
        </w:rPr>
        <w:t xml:space="preserve"> </w:t>
      </w:r>
    </w:p>
    <w:p w:rsidR="00667C37" w:rsidRPr="00CF22AE" w:rsidRDefault="00667C37" w:rsidP="00DB7D0E">
      <w:pPr>
        <w:autoSpaceDE w:val="0"/>
        <w:autoSpaceDN w:val="0"/>
        <w:spacing w:after="0" w:line="360" w:lineRule="auto"/>
        <w:ind w:firstLine="709"/>
        <w:jc w:val="both"/>
        <w:rPr>
          <w:rFonts w:ascii="Times New Roman" w:hAnsi="Times New Roman" w:cs="Times New Roman"/>
          <w:sz w:val="28"/>
          <w:szCs w:val="28"/>
        </w:rPr>
      </w:pPr>
      <w:r w:rsidRPr="00CF22AE">
        <w:rPr>
          <w:rFonts w:ascii="Times New Roman" w:hAnsi="Times New Roman" w:cs="Times New Roman"/>
          <w:sz w:val="28"/>
          <w:szCs w:val="28"/>
        </w:rPr>
        <w:t>27.</w:t>
      </w:r>
      <w:r w:rsidRPr="00CF22AE">
        <w:t xml:space="preserve"> </w:t>
      </w:r>
      <w:r w:rsidRPr="00CF22AE">
        <w:rPr>
          <w:rFonts w:ascii="Times New Roman" w:hAnsi="Times New Roman" w:cs="Times New Roman"/>
          <w:sz w:val="28"/>
          <w:szCs w:val="28"/>
        </w:rPr>
        <w:t>AL-SNAFI, Ali Esmail. Chemical constituents and pharmacological importance of Agropyron repens–A review. Research Journal of Pharmacology and Toxicology, 2015, 1.2: 37-41.</w:t>
      </w:r>
    </w:p>
    <w:p w:rsidR="00667C37" w:rsidRPr="00CF22AE" w:rsidRDefault="00667C37"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28. Kasote, D. M., Jagtap, S. D., Thapa, D., Khyade, M. S., &amp; Russell, W. R. (2017). Herbal remedies for urinary stones used in India and China: A review. Journal of ethnopharmacology, 203, 55-68.</w:t>
      </w:r>
    </w:p>
    <w:p w:rsidR="00252859" w:rsidRDefault="00252859"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sidRPr="00CF22AE">
        <w:rPr>
          <w:rFonts w:ascii="Times New Roman" w:eastAsia="Times New Roman" w:hAnsi="Times New Roman" w:cs="Times New Roman"/>
          <w:sz w:val="28"/>
          <w:szCs w:val="28"/>
          <w:lang w:eastAsia="uk-UA"/>
        </w:rPr>
        <w:t>29. Radovanović, K., Gavarić, N., &amp; Aćimović, M. (2023). Anti-inflammatory properties of plants from Serbian traditional medicine. Life, 13(4), 874.</w:t>
      </w:r>
    </w:p>
    <w:p w:rsidR="001203C7" w:rsidRDefault="001A5C78"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30. Компендіум</w:t>
      </w:r>
      <w:r w:rsidR="001203C7">
        <w:rPr>
          <w:rFonts w:ascii="Times New Roman" w:eastAsia="Times New Roman" w:hAnsi="Times New Roman" w:cs="Times New Roman"/>
          <w:sz w:val="28"/>
          <w:szCs w:val="28"/>
          <w:lang w:eastAsia="uk-UA"/>
        </w:rPr>
        <w:t xml:space="preserve">. Довідник лікарських засобів. </w:t>
      </w:r>
    </w:p>
    <w:p w:rsidR="001A5C78" w:rsidRPr="00CF22AE" w:rsidRDefault="00E3509E" w:rsidP="001203C7">
      <w:pPr>
        <w:autoSpaceDE w:val="0"/>
        <w:autoSpaceDN w:val="0"/>
        <w:spacing w:after="0" w:line="360" w:lineRule="auto"/>
        <w:jc w:val="both"/>
        <w:rPr>
          <w:rFonts w:ascii="Times New Roman" w:eastAsia="Times New Roman" w:hAnsi="Times New Roman" w:cs="Times New Roman"/>
          <w:sz w:val="28"/>
          <w:szCs w:val="28"/>
          <w:lang w:eastAsia="uk-UA"/>
        </w:rPr>
      </w:pPr>
      <w:hyperlink r:id="rId82" w:history="1">
        <w:r w:rsidR="001203C7" w:rsidRPr="0083281F">
          <w:rPr>
            <w:rStyle w:val="a4"/>
            <w:rFonts w:ascii="Times New Roman" w:eastAsia="Times New Roman" w:hAnsi="Times New Roman" w:cs="Times New Roman"/>
            <w:sz w:val="28"/>
            <w:szCs w:val="28"/>
            <w:lang w:eastAsia="uk-UA"/>
          </w:rPr>
          <w:t>https://compendium.com.ua/dec/260709/</w:t>
        </w:r>
      </w:hyperlink>
      <w:r w:rsidR="001203C7">
        <w:rPr>
          <w:rFonts w:ascii="Times New Roman" w:eastAsia="Times New Roman" w:hAnsi="Times New Roman" w:cs="Times New Roman"/>
          <w:sz w:val="28"/>
          <w:szCs w:val="28"/>
          <w:lang w:eastAsia="uk-UA"/>
        </w:rPr>
        <w:t xml:space="preserve"> </w:t>
      </w:r>
    </w:p>
    <w:p w:rsidR="001A5C78" w:rsidRDefault="001203C7"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31</w:t>
      </w:r>
      <w:r w:rsidR="00252859" w:rsidRPr="00CF22AE">
        <w:rPr>
          <w:rFonts w:ascii="Times New Roman" w:eastAsia="Times New Roman" w:hAnsi="Times New Roman" w:cs="Times New Roman"/>
          <w:sz w:val="28"/>
          <w:szCs w:val="28"/>
          <w:lang w:eastAsia="uk-UA"/>
        </w:rPr>
        <w:t>.</w:t>
      </w:r>
      <w:r>
        <w:rPr>
          <w:rFonts w:ascii="Times New Roman" w:eastAsia="Times New Roman" w:hAnsi="Times New Roman" w:cs="Times New Roman"/>
          <w:sz w:val="28"/>
          <w:szCs w:val="28"/>
          <w:lang w:eastAsia="uk-UA"/>
        </w:rPr>
        <w:t xml:space="preserve"> Компендіум. Довідник лікарських засбів. Інструкція «Фітолізину»</w:t>
      </w:r>
      <w:r w:rsidR="00252859" w:rsidRPr="00CF22AE">
        <w:rPr>
          <w:rFonts w:ascii="Times New Roman" w:eastAsia="Times New Roman" w:hAnsi="Times New Roman" w:cs="Times New Roman"/>
          <w:sz w:val="28"/>
          <w:szCs w:val="28"/>
          <w:lang w:eastAsia="uk-UA"/>
        </w:rPr>
        <w:t xml:space="preserve"> </w:t>
      </w:r>
      <w:hyperlink r:id="rId83" w:history="1">
        <w:r w:rsidR="001A5C78" w:rsidRPr="0083281F">
          <w:rPr>
            <w:rStyle w:val="a4"/>
            <w:rFonts w:ascii="Times New Roman" w:eastAsia="Times New Roman" w:hAnsi="Times New Roman" w:cs="Times New Roman"/>
            <w:sz w:val="28"/>
            <w:szCs w:val="28"/>
            <w:lang w:eastAsia="uk-UA"/>
          </w:rPr>
          <w:t>https://compendium.com.ua/dec/260709/</w:t>
        </w:r>
      </w:hyperlink>
    </w:p>
    <w:p w:rsidR="00136ECD" w:rsidRDefault="00136ECD"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32. </w:t>
      </w:r>
      <w:r w:rsidRPr="00136ECD">
        <w:rPr>
          <w:rFonts w:ascii="Times New Roman" w:eastAsia="Times New Roman" w:hAnsi="Times New Roman" w:cs="Times New Roman"/>
          <w:sz w:val="28"/>
          <w:szCs w:val="28"/>
          <w:lang w:eastAsia="uk-UA"/>
        </w:rPr>
        <w:t>Bar-Sela, G., Cohen, M., Ben-Arye, E., &amp; Epelbaum, R. (2015). The medical use of wheatgrass: review of the gap between basic and clinical applications. Mini reviews in medicinal chemistry, 15(12), 1002-1010.</w:t>
      </w:r>
      <w:r>
        <w:rPr>
          <w:rFonts w:ascii="Times New Roman" w:eastAsia="Times New Roman" w:hAnsi="Times New Roman" w:cs="Times New Roman"/>
          <w:sz w:val="28"/>
          <w:szCs w:val="28"/>
          <w:lang w:eastAsia="uk-UA"/>
        </w:rPr>
        <w:t xml:space="preserve"> </w:t>
      </w:r>
      <w:r w:rsidRPr="00136ECD">
        <w:rPr>
          <w:rFonts w:ascii="Times New Roman" w:eastAsia="Times New Roman" w:hAnsi="Times New Roman" w:cs="Times New Roman"/>
          <w:sz w:val="28"/>
          <w:szCs w:val="28"/>
          <w:lang w:eastAsia="uk-UA"/>
        </w:rPr>
        <w:t>DOI: 10.2174/138955751512150731112836</w:t>
      </w:r>
    </w:p>
    <w:p w:rsidR="00136ECD" w:rsidRDefault="00136ECD"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33. </w:t>
      </w:r>
      <w:r w:rsidRPr="00136ECD">
        <w:rPr>
          <w:rFonts w:ascii="Times New Roman" w:eastAsia="Times New Roman" w:hAnsi="Times New Roman" w:cs="Times New Roman"/>
          <w:sz w:val="28"/>
          <w:szCs w:val="28"/>
          <w:lang w:eastAsia="uk-UA"/>
        </w:rPr>
        <w:t>MIS, Leyla, et al. Effect of Wheatgrass on DNA damage, oxidative stress ındex and histological findings in Diabetic Rats. 2018.</w:t>
      </w:r>
      <w:r>
        <w:rPr>
          <w:rFonts w:ascii="Times New Roman" w:eastAsia="Times New Roman" w:hAnsi="Times New Roman" w:cs="Times New Roman"/>
          <w:sz w:val="28"/>
          <w:szCs w:val="28"/>
          <w:lang w:eastAsia="uk-UA"/>
        </w:rPr>
        <w:t xml:space="preserve"> </w:t>
      </w:r>
      <w:r w:rsidRPr="00136ECD">
        <w:rPr>
          <w:rFonts w:ascii="Times New Roman" w:eastAsia="Times New Roman" w:hAnsi="Times New Roman" w:cs="Times New Roman"/>
          <w:sz w:val="28"/>
          <w:szCs w:val="28"/>
          <w:lang w:eastAsia="uk-UA"/>
        </w:rPr>
        <w:t>DOI: 10.4067/S0717-95022018000401235</w:t>
      </w:r>
      <w:r>
        <w:rPr>
          <w:rFonts w:ascii="Times New Roman" w:eastAsia="Times New Roman" w:hAnsi="Times New Roman" w:cs="Times New Roman"/>
          <w:sz w:val="28"/>
          <w:szCs w:val="28"/>
          <w:lang w:eastAsia="uk-UA"/>
        </w:rPr>
        <w:t xml:space="preserve"> </w:t>
      </w:r>
    </w:p>
    <w:p w:rsidR="00D87C87" w:rsidRPr="00CF22AE" w:rsidRDefault="00AD4CC7" w:rsidP="00DB7D0E">
      <w:pPr>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eastAsia="uk-UA"/>
        </w:rPr>
        <w:t>3</w:t>
      </w:r>
      <w:r w:rsidRPr="003774AB">
        <w:rPr>
          <w:rFonts w:ascii="Times New Roman" w:eastAsia="Times New Roman" w:hAnsi="Times New Roman" w:cs="Times New Roman"/>
          <w:sz w:val="28"/>
          <w:szCs w:val="28"/>
          <w:lang w:eastAsia="uk-UA"/>
        </w:rPr>
        <w:t>4</w:t>
      </w:r>
      <w:r w:rsidR="00252859" w:rsidRPr="00CF22AE">
        <w:rPr>
          <w:rFonts w:ascii="Times New Roman" w:eastAsia="Times New Roman" w:hAnsi="Times New Roman" w:cs="Times New Roman"/>
          <w:sz w:val="28"/>
          <w:szCs w:val="28"/>
          <w:lang w:eastAsia="uk-UA"/>
        </w:rPr>
        <w:t>.</w:t>
      </w:r>
      <w:r w:rsidR="00D87C87" w:rsidRPr="00CF22AE">
        <w:t xml:space="preserve"> </w:t>
      </w:r>
      <w:r w:rsidR="000617FF" w:rsidRPr="00F13630">
        <w:rPr>
          <w:rFonts w:ascii="Times New Roman" w:eastAsia="Times New Roman" w:hAnsi="Times New Roman" w:cs="Times New Roman"/>
          <w:sz w:val="28"/>
          <w:szCs w:val="28"/>
        </w:rPr>
        <w:t>Державна Фармакопея України: в 3 т. Державне підприємство «Український науковий фармакопейний центр якості лікарських засобів</w:t>
      </w:r>
      <w:r w:rsidR="000617FF">
        <w:rPr>
          <w:rFonts w:ascii="Times New Roman" w:eastAsia="Times New Roman" w:hAnsi="Times New Roman" w:cs="Times New Roman"/>
          <w:sz w:val="28"/>
          <w:szCs w:val="28"/>
        </w:rPr>
        <w:t>». 2-е вид. Харків, 2015. – Т. 1</w:t>
      </w:r>
      <w:r w:rsidR="000617FF" w:rsidRPr="00F13630">
        <w:rPr>
          <w:rFonts w:ascii="Times New Roman" w:eastAsia="Times New Roman" w:hAnsi="Times New Roman" w:cs="Times New Roman"/>
          <w:sz w:val="28"/>
          <w:szCs w:val="28"/>
        </w:rPr>
        <w:t xml:space="preserve">. </w:t>
      </w:r>
      <w:r w:rsidR="000617FF">
        <w:rPr>
          <w:rFonts w:ascii="Times New Roman" w:eastAsia="Times New Roman" w:hAnsi="Times New Roman" w:cs="Times New Roman"/>
          <w:sz w:val="28"/>
          <w:szCs w:val="28"/>
        </w:rPr>
        <w:t xml:space="preserve">– </w:t>
      </w:r>
      <w:r w:rsidR="000617FF" w:rsidRPr="00F13630">
        <w:rPr>
          <w:rFonts w:ascii="Times New Roman" w:eastAsia="Times New Roman" w:hAnsi="Times New Roman" w:cs="Times New Roman"/>
          <w:sz w:val="28"/>
          <w:szCs w:val="28"/>
        </w:rPr>
        <w:t>1128 с</w:t>
      </w:r>
    </w:p>
    <w:p w:rsidR="00BB2D59" w:rsidRDefault="00AD4CC7"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rPr>
        <w:t>3</w:t>
      </w:r>
      <w:r w:rsidRPr="00AD4CC7">
        <w:rPr>
          <w:rFonts w:ascii="Times New Roman" w:eastAsia="Times New Roman" w:hAnsi="Times New Roman" w:cs="Times New Roman"/>
          <w:sz w:val="28"/>
          <w:szCs w:val="28"/>
          <w:lang w:val="ru-RU"/>
        </w:rPr>
        <w:t>5</w:t>
      </w:r>
      <w:r w:rsidR="00BB2D59" w:rsidRPr="00F13630">
        <w:rPr>
          <w:rFonts w:ascii="Times New Roman" w:eastAsia="Times New Roman" w:hAnsi="Times New Roman" w:cs="Times New Roman"/>
          <w:sz w:val="28"/>
          <w:szCs w:val="28"/>
        </w:rPr>
        <w:t xml:space="preserve">. </w:t>
      </w:r>
      <w:r w:rsidR="000617FF" w:rsidRPr="00CF22AE">
        <w:rPr>
          <w:rFonts w:ascii="Times New Roman" w:eastAsia="Times New Roman" w:hAnsi="Times New Roman" w:cs="Times New Roman"/>
          <w:sz w:val="28"/>
          <w:szCs w:val="28"/>
          <w:lang w:eastAsia="uk-UA"/>
        </w:rPr>
        <w:t>Міністерство охорони здоров’я України. Державний реєстр лікарських засобів України. URL: http://www.drlz.com.ua (дата звернення: 20.10.2023).</w:t>
      </w:r>
    </w:p>
    <w:p w:rsidR="000617FF" w:rsidRDefault="000617FF" w:rsidP="00DB7D0E">
      <w:pPr>
        <w:autoSpaceDE w:val="0"/>
        <w:autoSpaceDN w:val="0"/>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36. </w:t>
      </w:r>
      <w:r w:rsidR="00690F93" w:rsidRPr="00690F93">
        <w:rPr>
          <w:rFonts w:ascii="Times New Roman" w:eastAsia="Times New Roman" w:hAnsi="Times New Roman" w:cs="Times New Roman"/>
          <w:sz w:val="28"/>
          <w:szCs w:val="28"/>
          <w:lang w:eastAsia="uk-UA"/>
        </w:rPr>
        <w:t>МАРЧИШИН, Світлана Михайлівна; ГАРНИК, Мирослава Сергіївна. Спосіб одержання рослинної субстанції з протизапальною та сечогінною активністю. 2014.</w:t>
      </w:r>
    </w:p>
    <w:p w:rsidR="00690F93" w:rsidRPr="00BB2D59" w:rsidRDefault="00690F93" w:rsidP="00DB7D0E">
      <w:pPr>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eastAsia="uk-UA"/>
        </w:rPr>
        <w:t xml:space="preserve">37. </w:t>
      </w:r>
      <w:r w:rsidRPr="00690F93">
        <w:rPr>
          <w:rFonts w:ascii="Times New Roman" w:eastAsia="Times New Roman" w:hAnsi="Times New Roman" w:cs="Times New Roman"/>
          <w:sz w:val="28"/>
          <w:szCs w:val="28"/>
          <w:lang w:eastAsia="uk-UA"/>
        </w:rPr>
        <w:t>КАЛУШКА, О. Б.; МАРЧИШИН, С. М. ПОЛІСАХАРИДНИЙ КОМПЛЕКС ПІДЗЕМНИХ І НАДЗЕМНИХ ОРГАНІВ ПИРІЮ ПОВЗУЧОГО (AGROPYRON REPENS (L.)). Фармацевтичний часопис, 2014, 3.</w:t>
      </w:r>
      <w:r>
        <w:rPr>
          <w:rFonts w:ascii="Times New Roman" w:eastAsia="Times New Roman" w:hAnsi="Times New Roman" w:cs="Times New Roman"/>
          <w:sz w:val="28"/>
          <w:szCs w:val="28"/>
          <w:lang w:eastAsia="uk-UA"/>
        </w:rPr>
        <w:t>С</w:t>
      </w:r>
    </w:p>
    <w:p w:rsidR="00D87C87" w:rsidRPr="00CF22AE" w:rsidRDefault="00AD4CC7" w:rsidP="00DB7D0E">
      <w:pPr>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690F93">
        <w:rPr>
          <w:rFonts w:ascii="Times New Roman" w:eastAsia="Times New Roman" w:hAnsi="Times New Roman" w:cs="Times New Roman"/>
          <w:sz w:val="28"/>
          <w:szCs w:val="28"/>
          <w:lang w:val="ru-RU"/>
        </w:rPr>
        <w:t>8</w:t>
      </w:r>
      <w:r w:rsidR="001A4761" w:rsidRPr="00CF22AE">
        <w:rPr>
          <w:rFonts w:ascii="Times New Roman" w:eastAsia="Times New Roman" w:hAnsi="Times New Roman" w:cs="Times New Roman"/>
          <w:sz w:val="28"/>
          <w:szCs w:val="28"/>
        </w:rPr>
        <w:t>. Т. А. Грошовий1, М. Б. Демчук1, Н. М. Белей1, Ю. В. Найда2, Б. В. Павлюк ДИЗАЙН ЕКСПЕРИМЕНТУ ПРИ ПРОВЕДЕННІ ДОСЛІДЖЕНЬ ІЗ СТВОРЕННЯ ТАБЛЕТОВАНИХ ЛІКАРСЬКИХ ЗАСОБІВ . Фармацевтичний часопис. 2020. № 2.С. 101-107</w:t>
      </w:r>
    </w:p>
    <w:p w:rsidR="00D87C87" w:rsidRPr="00CF22AE" w:rsidRDefault="00AD4CC7" w:rsidP="00DB7D0E">
      <w:pPr>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sidR="00690F93">
        <w:rPr>
          <w:rFonts w:ascii="Times New Roman" w:eastAsia="Times New Roman" w:hAnsi="Times New Roman" w:cs="Times New Roman"/>
          <w:sz w:val="28"/>
          <w:szCs w:val="28"/>
          <w:lang w:val="ru-RU"/>
        </w:rPr>
        <w:t>9</w:t>
      </w:r>
      <w:r w:rsidR="001A4761" w:rsidRPr="00CF22AE">
        <w:rPr>
          <w:rFonts w:ascii="Times New Roman" w:eastAsia="Times New Roman" w:hAnsi="Times New Roman" w:cs="Times New Roman"/>
          <w:sz w:val="28"/>
          <w:szCs w:val="28"/>
        </w:rPr>
        <w:t>. ЗАСТОСУВАННЯ МЕТОДУ МАТЕМАТИЧНОГО ПЛАНУВАННЯ ЕКСПЕРИМЕНТУ ПРИ ОПТИМІЗАЦІЇ СКЛАДУ ТА ТЕХНОЛОГІЇ МАТРИКСНИХ ТАБЛЕТОК ІЗ СУХИМ ЕКСТРАКТОМ ЛИСТЯ ЧОРНИЦІ О. А. Рубан, Т. Є. Колісник, Г. Д. Сліпченко . Фармацевтичний часопис. 2018. № 2 С. 41-47.</w:t>
      </w:r>
    </w:p>
    <w:p w:rsidR="001A4761" w:rsidRPr="00CF22AE" w:rsidRDefault="00690F93" w:rsidP="00DB7D0E">
      <w:pPr>
        <w:autoSpaceDE w:val="0"/>
        <w:autoSpaceDN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r w:rsidR="001A4761" w:rsidRPr="00CF22AE">
        <w:rPr>
          <w:rFonts w:ascii="Times New Roman" w:eastAsia="Times New Roman" w:hAnsi="Times New Roman" w:cs="Times New Roman"/>
          <w:sz w:val="28"/>
          <w:szCs w:val="28"/>
        </w:rPr>
        <w:t>. Бегей НС, Тригубчак ОВ. Фармако-технологічні дослідження при розробці складу таблеток амлодипіну з еналаприлом. Фармацевтичний журнал. 2020;1:41-53.</w:t>
      </w:r>
    </w:p>
    <w:p w:rsidR="001A4761" w:rsidRPr="00CF22AE" w:rsidRDefault="00690F93"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r w:rsidR="001A4761" w:rsidRPr="00CF22AE">
        <w:rPr>
          <w:rFonts w:ascii="Times New Roman" w:eastAsia="Times New Roman" w:hAnsi="Times New Roman" w:cs="Times New Roman"/>
          <w:sz w:val="28"/>
          <w:szCs w:val="28"/>
        </w:rPr>
        <w:t>. Бегей НС, Найда ЮВ, Тарапон КВ. Використання методів математичного планування експерименту при фармацевтичній розробці. XXIІI Міжнародний медичний конгрес студентів та молодих вчених; 15-17 квіт. 2019; Тернопіль, Україна. Тернопіль: ТДМУ; 2019. с. 210.</w:t>
      </w:r>
    </w:p>
    <w:p w:rsidR="001A4761" w:rsidRPr="00CF22AE" w:rsidRDefault="00690F93"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4</w:t>
      </w:r>
      <w:r>
        <w:rPr>
          <w:rFonts w:ascii="Times New Roman" w:eastAsia="Times New Roman" w:hAnsi="Times New Roman" w:cs="Times New Roman"/>
          <w:sz w:val="28"/>
          <w:szCs w:val="28"/>
        </w:rPr>
        <w:t>2</w:t>
      </w:r>
      <w:r w:rsidR="001A4761" w:rsidRPr="00CF22AE">
        <w:rPr>
          <w:rFonts w:ascii="Times New Roman" w:eastAsia="Times New Roman" w:hAnsi="Times New Roman" w:cs="Times New Roman"/>
          <w:sz w:val="28"/>
          <w:szCs w:val="28"/>
        </w:rPr>
        <w:t>. Behei N, Tryhubchak O, Pryymak B. Development of Amlodipine and Enalapril Tablets Based on QbD Using an Artificial Neural Networks. Pharmacia (2022). 69(3): 779-789.</w:t>
      </w:r>
    </w:p>
    <w:p w:rsidR="001A4761" w:rsidRPr="00CF22AE" w:rsidRDefault="00690F93" w:rsidP="00DB7D0E">
      <w:pPr>
        <w:pStyle w:val="a3"/>
        <w:spacing w:line="360" w:lineRule="auto"/>
        <w:ind w:firstLine="709"/>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43</w:t>
      </w:r>
      <w:r w:rsidR="001A4761" w:rsidRPr="00CF22AE">
        <w:rPr>
          <w:rFonts w:ascii="Times New Roman" w:eastAsia="Times New Roman" w:hAnsi="Times New Roman" w:cs="Times New Roman"/>
          <w:sz w:val="28"/>
          <w:szCs w:val="28"/>
        </w:rPr>
        <w:t>. Грошовий ТА, Марценюк ВП, Кучеренко ЛІ, Вронська ЛВ, Гуреєва СМ. Математичне планування експерименту при проведенні наукових досліджень в фармації. Тернопіль: Укрмедкнига; 2008. 368 с.</w:t>
      </w:r>
    </w:p>
    <w:p w:rsidR="001A4761" w:rsidRPr="00CF22AE" w:rsidRDefault="00690F93"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w:t>
      </w:r>
      <w:r w:rsidR="001A4761" w:rsidRPr="00CF22AE">
        <w:rPr>
          <w:rFonts w:ascii="Times New Roman" w:eastAsia="Times New Roman" w:hAnsi="Times New Roman" w:cs="Times New Roman"/>
          <w:sz w:val="28"/>
          <w:szCs w:val="28"/>
        </w:rPr>
        <w:t xml:space="preserve">. </w:t>
      </w:r>
      <w:r w:rsidR="001A4761" w:rsidRPr="00CF22AE">
        <w:rPr>
          <w:rFonts w:ascii="Times New Roman" w:eastAsia="Times New Roman" w:hAnsi="Times New Roman" w:cs="Times New Roman"/>
          <w:sz w:val="28"/>
          <w:szCs w:val="28"/>
        </w:rPr>
        <w:t>  Zarivna N. O. Розробка технологічної схеми виробництва капсул з густим екстрактом чебрецю повзучого та ефірною олією чебрецю звичайного // Modern engineering and innovative technologies, Germany. - 2022.- Part 1., Issue № 24.- P. 129-136. </w:t>
      </w:r>
    </w:p>
    <w:p w:rsidR="001A4761" w:rsidRPr="00CF22AE" w:rsidRDefault="00AD4CC7"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690F93">
        <w:rPr>
          <w:rFonts w:ascii="Times New Roman" w:eastAsia="Times New Roman" w:hAnsi="Times New Roman" w:cs="Times New Roman"/>
          <w:sz w:val="28"/>
          <w:szCs w:val="28"/>
        </w:rPr>
        <w:t>4</w:t>
      </w:r>
      <w:r w:rsidR="001A4761" w:rsidRPr="00CF22AE">
        <w:rPr>
          <w:rFonts w:ascii="Times New Roman" w:eastAsia="Times New Roman" w:hAnsi="Times New Roman" w:cs="Times New Roman"/>
          <w:sz w:val="28"/>
          <w:szCs w:val="28"/>
        </w:rPr>
        <w:t xml:space="preserve">. </w:t>
      </w:r>
      <w:r w:rsidR="001A4761" w:rsidRPr="00CF22AE">
        <w:rPr>
          <w:rFonts w:ascii="Times New Roman" w:eastAsia="Times New Roman" w:hAnsi="Times New Roman" w:cs="Times New Roman"/>
          <w:sz w:val="28"/>
          <w:szCs w:val="28"/>
        </w:rPr>
        <w:t>  Зарівна Н. О. Дослідження оптимального складу капсульної маси  з ефірною олією чебрецю звичайного при розробці  твердих капсул // Медична та клінічна хімія.- 2022.  - Т. 24., № 2. - С. 112-116. </w:t>
      </w:r>
    </w:p>
    <w:p w:rsidR="001A4761" w:rsidRPr="00CF22AE" w:rsidRDefault="00AD4CC7" w:rsidP="00DB7D0E">
      <w:pPr>
        <w:pStyle w:val="a3"/>
        <w:spacing w:line="360" w:lineRule="auto"/>
        <w:ind w:firstLine="709"/>
        <w:jc w:val="both"/>
        <w:rPr>
          <w:rFonts w:ascii="Times New Roman" w:eastAsia="Times New Roman" w:hAnsi="Times New Roman" w:cs="Times New Roman"/>
          <w:sz w:val="28"/>
          <w:szCs w:val="28"/>
          <w:u w:val="single"/>
        </w:rPr>
      </w:pPr>
      <w:r>
        <w:rPr>
          <w:rFonts w:ascii="Times New Roman" w:eastAsia="Times New Roman" w:hAnsi="Times New Roman" w:cs="Times New Roman"/>
          <w:sz w:val="28"/>
          <w:szCs w:val="28"/>
        </w:rPr>
        <w:t>4</w:t>
      </w:r>
      <w:r w:rsidR="00690F93">
        <w:rPr>
          <w:rFonts w:ascii="Times New Roman" w:eastAsia="Times New Roman" w:hAnsi="Times New Roman" w:cs="Times New Roman"/>
          <w:sz w:val="28"/>
          <w:szCs w:val="28"/>
        </w:rPr>
        <w:t>5</w:t>
      </w:r>
      <w:r w:rsidR="001A4761" w:rsidRPr="00CF22AE">
        <w:rPr>
          <w:rFonts w:ascii="Times New Roman" w:eastAsia="Times New Roman" w:hAnsi="Times New Roman" w:cs="Times New Roman"/>
          <w:sz w:val="28"/>
          <w:szCs w:val="28"/>
        </w:rPr>
        <w:t xml:space="preserve">. </w:t>
      </w:r>
      <w:r w:rsidR="003E1E87">
        <w:rPr>
          <w:rFonts w:ascii="Times New Roman" w:eastAsia="Times New Roman" w:hAnsi="Times New Roman" w:cs="Times New Roman"/>
          <w:sz w:val="28"/>
          <w:szCs w:val="28"/>
        </w:rPr>
        <w:t>Рибачук, В. Д.</w:t>
      </w:r>
      <w:r w:rsidR="003E1E87" w:rsidRPr="003E1E87">
        <w:rPr>
          <w:rFonts w:ascii="Times New Roman" w:eastAsia="Times New Roman" w:hAnsi="Times New Roman" w:cs="Times New Roman"/>
          <w:sz w:val="28"/>
          <w:szCs w:val="28"/>
        </w:rPr>
        <w:t xml:space="preserve"> "Вибір раціонального зволожувача для отримання гранул на основі збору серцево судинного." (2018).</w:t>
      </w:r>
      <w:r w:rsidR="003E1E87">
        <w:rPr>
          <w:rFonts w:ascii="Times New Roman" w:eastAsia="Times New Roman" w:hAnsi="Times New Roman" w:cs="Times New Roman"/>
          <w:sz w:val="28"/>
          <w:szCs w:val="28"/>
        </w:rPr>
        <w:t xml:space="preserve"> </w:t>
      </w:r>
      <w:hyperlink r:id="rId84" w:history="1">
        <w:r w:rsidR="001A4761" w:rsidRPr="00CF22AE">
          <w:rPr>
            <w:rStyle w:val="a4"/>
            <w:rFonts w:ascii="Times New Roman" w:eastAsia="Times New Roman" w:hAnsi="Times New Roman" w:cs="Times New Roman"/>
            <w:sz w:val="28"/>
            <w:szCs w:val="28"/>
          </w:rPr>
          <w:t>http://dspace.nuph.edu.ua/handle/123456789/16021</w:t>
        </w:r>
      </w:hyperlink>
    </w:p>
    <w:p w:rsidR="001A4761" w:rsidRPr="00CF22AE" w:rsidRDefault="00AD4CC7"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u w:val="single"/>
        </w:rPr>
        <w:t>4</w:t>
      </w:r>
      <w:r w:rsidR="00690F93">
        <w:rPr>
          <w:rFonts w:ascii="Times New Roman" w:eastAsia="Times New Roman" w:hAnsi="Times New Roman" w:cs="Times New Roman"/>
          <w:sz w:val="28"/>
          <w:szCs w:val="28"/>
          <w:u w:val="single"/>
          <w:lang w:val="ru-RU"/>
        </w:rPr>
        <w:t>6</w:t>
      </w:r>
      <w:r w:rsidR="001A4761" w:rsidRPr="00CF22AE">
        <w:rPr>
          <w:rFonts w:ascii="Times New Roman" w:eastAsia="Times New Roman" w:hAnsi="Times New Roman" w:cs="Times New Roman"/>
          <w:sz w:val="28"/>
          <w:szCs w:val="28"/>
          <w:u w:val="single"/>
        </w:rPr>
        <w:t>.</w:t>
      </w:r>
      <w:r w:rsidR="001A4761" w:rsidRPr="00CF22AE">
        <w:rPr>
          <w:rFonts w:ascii="Times New Roman" w:eastAsia="Times New Roman" w:hAnsi="Times New Roman" w:cs="Times New Roman"/>
          <w:sz w:val="28"/>
          <w:szCs w:val="28"/>
        </w:rPr>
        <w:t xml:space="preserve"> ЗАСТОСУВАННЯ МЕТОДУ ВИПАДКОВОГО БАЛАНСУ ДЛЯ ВИВЧЕННЯ ВПЛИВУ КІЛЬКОСТЕЙ ДОПОМІЖНИХ РЕЧОВИН НА ТЕХНОЛОГІЧНІ ПАРАМЕТРИ ТАБЛЕТОК ІЗ ЛІОФІЛІЗОВАНИМ ПОРОШКОМ ТРУТНЕВОГО ГОМОГЕНАТУБ. В. Павлюк, М. Б. Чубка, Т. А. Грошовий, М. М. Добринчук . Фармацевтичний часопис. 2022. №1 ..С 58-65.</w:t>
      </w:r>
    </w:p>
    <w:p w:rsidR="001A4761" w:rsidRPr="00CF22AE" w:rsidRDefault="00AD4CC7"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690F93">
        <w:rPr>
          <w:rFonts w:ascii="Times New Roman" w:eastAsia="Times New Roman" w:hAnsi="Times New Roman" w:cs="Times New Roman"/>
          <w:sz w:val="28"/>
          <w:szCs w:val="28"/>
        </w:rPr>
        <w:t>7</w:t>
      </w:r>
      <w:r w:rsidR="001A4761" w:rsidRPr="00CF22AE">
        <w:rPr>
          <w:rFonts w:ascii="Times New Roman" w:eastAsia="Times New Roman" w:hAnsi="Times New Roman" w:cs="Times New Roman"/>
          <w:sz w:val="28"/>
          <w:szCs w:val="28"/>
        </w:rPr>
        <w:t>. Зарівна Н. О., Тригубчак О. B. Підбір кількостей допоміжних речовин при створенні капсул з густим екстрактом чебрецю повзучого з використанням регресійного аналізу // – Фармацевтичний часопис. – 2017. – № 2. – С. 47-51.</w:t>
      </w:r>
    </w:p>
    <w:p w:rsidR="001A4761" w:rsidRPr="00CF22AE" w:rsidRDefault="00AD4CC7" w:rsidP="00DB7D0E">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690F93">
        <w:rPr>
          <w:rFonts w:ascii="Times New Roman" w:eastAsia="Times New Roman" w:hAnsi="Times New Roman" w:cs="Times New Roman"/>
          <w:sz w:val="28"/>
          <w:szCs w:val="28"/>
        </w:rPr>
        <w:t>8</w:t>
      </w:r>
      <w:r w:rsidR="001A4761" w:rsidRPr="00CF22AE">
        <w:rPr>
          <w:rFonts w:ascii="Times New Roman" w:eastAsia="Times New Roman" w:hAnsi="Times New Roman" w:cs="Times New Roman"/>
          <w:sz w:val="28"/>
          <w:szCs w:val="28"/>
        </w:rPr>
        <w:t xml:space="preserve">. </w:t>
      </w:r>
      <w:r w:rsidR="001A4761" w:rsidRPr="00CF22AE">
        <w:rPr>
          <w:rFonts w:ascii="Times New Roman" w:eastAsia="Times New Roman" w:hAnsi="Times New Roman" w:cs="Times New Roman"/>
          <w:sz w:val="28"/>
          <w:szCs w:val="28"/>
        </w:rPr>
        <w:t>  Chernetska S. The method of random balance for studying the influence of excipients’ quantities on teсhnological parameters of tablets based on Origanum vulgare L. dry extract. / S. Chernetska, N. Beley, M. Demchuk // Eureca: Health Sciences. – 2021. – № 2. – P. 73-81.</w:t>
      </w:r>
    </w:p>
    <w:p w:rsidR="00572463" w:rsidRDefault="00AD4CC7" w:rsidP="00CB355C">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690F93">
        <w:rPr>
          <w:rFonts w:ascii="Times New Roman" w:eastAsia="Times New Roman" w:hAnsi="Times New Roman" w:cs="Times New Roman"/>
          <w:sz w:val="28"/>
          <w:szCs w:val="28"/>
        </w:rPr>
        <w:t>9</w:t>
      </w:r>
      <w:r w:rsidR="001A4761" w:rsidRPr="00CF22AE">
        <w:rPr>
          <w:rFonts w:ascii="Times New Roman" w:eastAsia="Times New Roman" w:hAnsi="Times New Roman" w:cs="Times New Roman"/>
          <w:sz w:val="28"/>
          <w:szCs w:val="28"/>
        </w:rPr>
        <w:t>. Мар’яна ВАСЕНДА, Лілія БУДНЯ</w:t>
      </w:r>
      <w:r w:rsidR="00CB355C">
        <w:rPr>
          <w:rFonts w:ascii="Times New Roman" w:eastAsia="Times New Roman" w:hAnsi="Times New Roman" w:cs="Times New Roman"/>
          <w:sz w:val="28"/>
          <w:szCs w:val="28"/>
        </w:rPr>
        <w:t xml:space="preserve">К, Ганна КРАМАР, Лариса КРАВЧУК </w:t>
      </w:r>
      <w:r w:rsidR="001A4761" w:rsidRPr="00CF22AE">
        <w:rPr>
          <w:rFonts w:ascii="Times New Roman" w:eastAsia="Times New Roman" w:hAnsi="Times New Roman" w:cs="Times New Roman"/>
          <w:sz w:val="28"/>
          <w:szCs w:val="28"/>
        </w:rPr>
        <w:t>Дослідження впливу кількісних факторів на фармако-технологічні властивості таблеток</w:t>
      </w:r>
      <w:r w:rsidR="00CB355C">
        <w:rPr>
          <w:rFonts w:ascii="Times New Roman" w:eastAsia="Times New Roman" w:hAnsi="Times New Roman" w:cs="Times New Roman"/>
          <w:sz w:val="28"/>
          <w:szCs w:val="28"/>
        </w:rPr>
        <w:t xml:space="preserve"> </w:t>
      </w:r>
      <w:r w:rsidR="001A4761" w:rsidRPr="00CF22AE">
        <w:rPr>
          <w:rFonts w:ascii="Times New Roman" w:eastAsia="Times New Roman" w:hAnsi="Times New Roman" w:cs="Times New Roman"/>
          <w:sz w:val="28"/>
          <w:szCs w:val="28"/>
        </w:rPr>
        <w:t>на основі фітосубстанції грецького горіха перетинок.Фітотерапія .Часопис. 2023 № 3 С. 95-101.</w:t>
      </w:r>
    </w:p>
    <w:p w:rsidR="00AE5563" w:rsidRPr="00AE5563" w:rsidRDefault="00690F93" w:rsidP="00AE5563">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50. </w:t>
      </w:r>
      <w:r w:rsidR="00AE5563" w:rsidRPr="00AE5563">
        <w:rPr>
          <w:rFonts w:ascii="Times New Roman" w:eastAsia="Times New Roman" w:hAnsi="Times New Roman" w:cs="Times New Roman"/>
          <w:sz w:val="28"/>
          <w:szCs w:val="28"/>
        </w:rPr>
        <w:t>O. Popadiuk, I. Bazyuk, Z. At</w:t>
      </w:r>
      <w:r w:rsidR="00AE5563">
        <w:rPr>
          <w:rFonts w:ascii="Times New Roman" w:eastAsia="Times New Roman" w:hAnsi="Times New Roman" w:cs="Times New Roman"/>
          <w:sz w:val="28"/>
          <w:szCs w:val="28"/>
        </w:rPr>
        <w:t xml:space="preserve">lasova, Yu. et all. Research of </w:t>
      </w:r>
      <w:r w:rsidR="00AE5563" w:rsidRPr="00AE5563">
        <w:rPr>
          <w:rFonts w:ascii="Times New Roman" w:eastAsia="Times New Roman" w:hAnsi="Times New Roman" w:cs="Times New Roman"/>
          <w:sz w:val="28"/>
          <w:szCs w:val="28"/>
        </w:rPr>
        <w:t>technological parameters of medicinal</w:t>
      </w:r>
      <w:r w:rsidR="00AE5563">
        <w:rPr>
          <w:rFonts w:ascii="Times New Roman" w:eastAsia="Times New Roman" w:hAnsi="Times New Roman" w:cs="Times New Roman"/>
          <w:sz w:val="28"/>
          <w:szCs w:val="28"/>
        </w:rPr>
        <w:t xml:space="preserve"> plant raw materials: матеріали </w:t>
      </w:r>
      <w:r w:rsidR="00AE5563" w:rsidRPr="00AE5563">
        <w:rPr>
          <w:rFonts w:ascii="Times New Roman" w:eastAsia="Times New Roman" w:hAnsi="Times New Roman" w:cs="Times New Roman"/>
          <w:sz w:val="28"/>
          <w:szCs w:val="28"/>
        </w:rPr>
        <w:t>всеукраїнської науково- практичної к</w:t>
      </w:r>
      <w:r w:rsidR="00AE5563">
        <w:rPr>
          <w:rFonts w:ascii="Times New Roman" w:eastAsia="Times New Roman" w:hAnsi="Times New Roman" w:cs="Times New Roman"/>
          <w:sz w:val="28"/>
          <w:szCs w:val="28"/>
        </w:rPr>
        <w:t xml:space="preserve">онференції з міжнародною участю </w:t>
      </w:r>
      <w:r w:rsidR="00AE5563" w:rsidRPr="00AE5563">
        <w:rPr>
          <w:rFonts w:ascii="Times New Roman" w:eastAsia="Times New Roman" w:hAnsi="Times New Roman" w:cs="Times New Roman"/>
          <w:sz w:val="28"/>
          <w:szCs w:val="28"/>
        </w:rPr>
        <w:t>«Запорізький фармацевтичний форум - 2023». Запоріжжя, 23-24 листопада 2023</w:t>
      </w:r>
      <w:r w:rsidR="00AE5563">
        <w:rPr>
          <w:rFonts w:ascii="Times New Roman" w:eastAsia="Times New Roman" w:hAnsi="Times New Roman" w:cs="Times New Roman"/>
          <w:sz w:val="28"/>
          <w:szCs w:val="28"/>
        </w:rPr>
        <w:t xml:space="preserve"> </w:t>
      </w:r>
      <w:r w:rsidR="00AE5563" w:rsidRPr="00AE5563">
        <w:rPr>
          <w:rFonts w:ascii="Times New Roman" w:eastAsia="Times New Roman" w:hAnsi="Times New Roman" w:cs="Times New Roman"/>
          <w:sz w:val="28"/>
          <w:szCs w:val="28"/>
        </w:rPr>
        <w:t>р. С. 176.</w:t>
      </w:r>
    </w:p>
    <w:p w:rsidR="0018154C" w:rsidRDefault="00AE5563" w:rsidP="00AE5563">
      <w:pPr>
        <w:pStyle w:val="a3"/>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r w:rsidRPr="00AE5563">
        <w:rPr>
          <w:rFonts w:ascii="Times New Roman" w:eastAsia="Times New Roman" w:hAnsi="Times New Roman" w:cs="Times New Roman"/>
          <w:sz w:val="28"/>
          <w:szCs w:val="28"/>
        </w:rPr>
        <w:t xml:space="preserve"> І.Базюк, М. Васенда, І. Бер</w:t>
      </w:r>
      <w:r>
        <w:rPr>
          <w:rFonts w:ascii="Times New Roman" w:eastAsia="Times New Roman" w:hAnsi="Times New Roman" w:cs="Times New Roman"/>
          <w:sz w:val="28"/>
          <w:szCs w:val="28"/>
        </w:rPr>
        <w:t xml:space="preserve">дей Назва тез: матеріали XXVІІI </w:t>
      </w:r>
      <w:r w:rsidRPr="00AE5563">
        <w:rPr>
          <w:rFonts w:ascii="Times New Roman" w:eastAsia="Times New Roman" w:hAnsi="Times New Roman" w:cs="Times New Roman"/>
          <w:sz w:val="28"/>
          <w:szCs w:val="28"/>
        </w:rPr>
        <w:t>конгресу студентів та молодих учених «Майбутнє за наукою» (присвячений</w:t>
      </w:r>
      <w:r>
        <w:rPr>
          <w:rFonts w:ascii="Times New Roman" w:eastAsia="Times New Roman" w:hAnsi="Times New Roman" w:cs="Times New Roman"/>
          <w:sz w:val="28"/>
          <w:szCs w:val="28"/>
        </w:rPr>
        <w:t xml:space="preserve"> </w:t>
      </w:r>
      <w:r w:rsidRPr="00AE5563">
        <w:rPr>
          <w:rFonts w:ascii="Times New Roman" w:eastAsia="Times New Roman" w:hAnsi="Times New Roman" w:cs="Times New Roman"/>
          <w:sz w:val="28"/>
          <w:szCs w:val="28"/>
        </w:rPr>
        <w:t>170-літтю з дня народження І.Я. Горбачевського) Тернопіль 2024. С. 182.</w:t>
      </w:r>
    </w:p>
    <w:p w:rsidR="0018154C" w:rsidRDefault="0018154C" w:rsidP="00CB355C">
      <w:pPr>
        <w:pStyle w:val="a3"/>
        <w:spacing w:line="360" w:lineRule="auto"/>
        <w:ind w:firstLine="709"/>
        <w:jc w:val="both"/>
        <w:rPr>
          <w:rFonts w:ascii="Times New Roman" w:eastAsia="Times New Roman" w:hAnsi="Times New Roman" w:cs="Times New Roman"/>
          <w:sz w:val="28"/>
          <w:szCs w:val="28"/>
        </w:rPr>
      </w:pPr>
    </w:p>
    <w:p w:rsidR="00B07033" w:rsidRDefault="00B07033" w:rsidP="003774AB">
      <w:pPr>
        <w:pStyle w:val="a3"/>
        <w:spacing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ДОДАТКИ</w:t>
      </w:r>
    </w:p>
    <w:p w:rsidR="003774AB" w:rsidRDefault="003774AB" w:rsidP="003774AB">
      <w:pPr>
        <w:pStyle w:val="a3"/>
        <w:spacing w:line="360" w:lineRule="auto"/>
        <w:ind w:firstLine="709"/>
        <w:jc w:val="center"/>
        <w:rPr>
          <w:rFonts w:ascii="Times New Roman" w:eastAsia="Times New Roman" w:hAnsi="Times New Roman" w:cs="Times New Roman"/>
          <w:b/>
          <w:sz w:val="28"/>
          <w:szCs w:val="28"/>
        </w:rPr>
      </w:pPr>
      <w:r w:rsidRPr="003774AB">
        <w:rPr>
          <w:rFonts w:ascii="Times New Roman" w:eastAsia="Times New Roman" w:hAnsi="Times New Roman" w:cs="Times New Roman"/>
          <w:b/>
          <w:sz w:val="28"/>
          <w:szCs w:val="28"/>
        </w:rPr>
        <w:t>Додаток А</w:t>
      </w:r>
    </w:p>
    <w:tbl>
      <w:tblPr>
        <w:tblStyle w:val="aa"/>
        <w:tblW w:w="0" w:type="auto"/>
        <w:tblLook w:val="04A0" w:firstRow="1" w:lastRow="0" w:firstColumn="1" w:lastColumn="0" w:noHBand="0" w:noVBand="1"/>
      </w:tblPr>
      <w:tblGrid>
        <w:gridCol w:w="433"/>
        <w:gridCol w:w="3632"/>
        <w:gridCol w:w="1931"/>
        <w:gridCol w:w="1882"/>
        <w:gridCol w:w="1977"/>
      </w:tblGrid>
      <w:tr w:rsidR="006E3C6C" w:rsidRPr="003774AB" w:rsidTr="00047EBC">
        <w:tc>
          <w:tcPr>
            <w:tcW w:w="440" w:type="dxa"/>
          </w:tcPr>
          <w:p w:rsidR="006E3C6C" w:rsidRPr="006E3C6C" w:rsidRDefault="006E3C6C" w:rsidP="003774AB">
            <w:pPr>
              <w:pStyle w:val="a3"/>
              <w:rPr>
                <w:rFonts w:ascii="Times New Roman" w:eastAsia="Times New Roman" w:hAnsi="Times New Roman" w:cs="Times New Roman"/>
                <w:b/>
                <w:sz w:val="28"/>
                <w:szCs w:val="28"/>
              </w:rPr>
            </w:pPr>
            <w:r w:rsidRPr="006E3C6C">
              <w:rPr>
                <w:rFonts w:ascii="Times New Roman" w:eastAsia="Times New Roman" w:hAnsi="Times New Roman" w:cs="Times New Roman"/>
                <w:b/>
                <w:sz w:val="28"/>
                <w:szCs w:val="28"/>
              </w:rPr>
              <w:t>№</w:t>
            </w:r>
          </w:p>
        </w:tc>
        <w:tc>
          <w:tcPr>
            <w:tcW w:w="5015" w:type="dxa"/>
          </w:tcPr>
          <w:p w:rsidR="006E3C6C" w:rsidRPr="006E3C6C" w:rsidRDefault="006E3C6C" w:rsidP="006E3C6C">
            <w:pPr>
              <w:pStyle w:val="a3"/>
              <w:jc w:val="center"/>
              <w:rPr>
                <w:rFonts w:ascii="Times New Roman" w:hAnsi="Times New Roman" w:cs="Times New Roman"/>
                <w:b/>
                <w:noProof/>
                <w:sz w:val="28"/>
                <w:szCs w:val="28"/>
                <w:lang w:val="ru-RU" w:eastAsia="ko-KR"/>
              </w:rPr>
            </w:pPr>
            <w:r w:rsidRPr="006E3C6C">
              <w:rPr>
                <w:rFonts w:ascii="Times New Roman" w:hAnsi="Times New Roman" w:cs="Times New Roman"/>
                <w:b/>
                <w:noProof/>
                <w:sz w:val="28"/>
                <w:szCs w:val="28"/>
                <w:lang w:val="ru-RU" w:eastAsia="ko-KR"/>
              </w:rPr>
              <w:t>Зображення</w:t>
            </w:r>
          </w:p>
        </w:tc>
        <w:tc>
          <w:tcPr>
            <w:tcW w:w="2005" w:type="dxa"/>
          </w:tcPr>
          <w:p w:rsidR="006E3C6C" w:rsidRPr="006E3C6C" w:rsidRDefault="006E3C6C" w:rsidP="006E3C6C">
            <w:pPr>
              <w:pStyle w:val="a3"/>
              <w:spacing w:line="360" w:lineRule="auto"/>
              <w:jc w:val="center"/>
              <w:rPr>
                <w:rFonts w:ascii="Times New Roman" w:eastAsia="Times New Roman" w:hAnsi="Times New Roman" w:cs="Times New Roman"/>
                <w:b/>
                <w:sz w:val="28"/>
                <w:szCs w:val="28"/>
              </w:rPr>
            </w:pPr>
            <w:r w:rsidRPr="006E3C6C">
              <w:rPr>
                <w:rFonts w:ascii="Times New Roman" w:eastAsia="Times New Roman" w:hAnsi="Times New Roman" w:cs="Times New Roman"/>
                <w:b/>
                <w:sz w:val="28"/>
                <w:szCs w:val="28"/>
              </w:rPr>
              <w:t>Назва</w:t>
            </w:r>
          </w:p>
        </w:tc>
        <w:tc>
          <w:tcPr>
            <w:tcW w:w="1953" w:type="dxa"/>
          </w:tcPr>
          <w:p w:rsidR="006E3C6C" w:rsidRPr="006E3C6C" w:rsidRDefault="006E3C6C" w:rsidP="006E3C6C">
            <w:pPr>
              <w:pStyle w:val="a3"/>
              <w:jc w:val="center"/>
              <w:rPr>
                <w:rFonts w:ascii="Times New Roman" w:eastAsia="Times New Roman" w:hAnsi="Times New Roman" w:cs="Times New Roman"/>
                <w:b/>
                <w:sz w:val="28"/>
                <w:szCs w:val="28"/>
              </w:rPr>
            </w:pPr>
            <w:r w:rsidRPr="006E3C6C">
              <w:rPr>
                <w:rFonts w:ascii="Times New Roman" w:eastAsia="Times New Roman" w:hAnsi="Times New Roman" w:cs="Times New Roman"/>
                <w:b/>
                <w:sz w:val="28"/>
                <w:szCs w:val="28"/>
              </w:rPr>
              <w:t>Склад</w:t>
            </w:r>
          </w:p>
        </w:tc>
        <w:tc>
          <w:tcPr>
            <w:tcW w:w="221" w:type="dxa"/>
          </w:tcPr>
          <w:p w:rsidR="006E3C6C" w:rsidRPr="006E3C6C" w:rsidRDefault="006E3C6C" w:rsidP="006E3C6C">
            <w:pPr>
              <w:pStyle w:val="a3"/>
              <w:jc w:val="center"/>
              <w:rPr>
                <w:rFonts w:ascii="Times New Roman" w:eastAsia="Times New Roman" w:hAnsi="Times New Roman" w:cs="Times New Roman"/>
                <w:b/>
                <w:sz w:val="28"/>
                <w:szCs w:val="28"/>
              </w:rPr>
            </w:pPr>
            <w:r w:rsidRPr="006E3C6C">
              <w:rPr>
                <w:rFonts w:ascii="Times New Roman" w:eastAsia="Times New Roman" w:hAnsi="Times New Roman" w:cs="Times New Roman"/>
                <w:b/>
                <w:sz w:val="28"/>
                <w:szCs w:val="28"/>
              </w:rPr>
              <w:t>Виробник</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0A33E5D5" wp14:editId="0404E07E">
                  <wp:extent cx="2137410" cy="2137410"/>
                  <wp:effectExtent l="0" t="0" r="0" b="0"/>
                  <wp:docPr id="40" name="Рисунок 40" descr="Артишок капсули для нормалізації печінки, жовчовивідних шляхів,  кишково-шлункового тракту 3 блістера по 10 шт Solution Pharm  (4820206963048) Фармаком (Україна) - інструкція, купити за низькою ціною в  Україні | Аналоги, відгуки - МІС Аптека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Артишок капсули для нормалізації печінки, жовчовивідних шляхів,  кишково-шлункового тракту 3 блістера по 10 шт Solution Pharm  (4820206963048) Фармаком (Україна) - інструкція, купити за низькою ціною в  Україні | Аналоги, відгуки - МІС Аптека 9-1-1"/>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137410" cy="2137410"/>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АРТИШОК</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капсула містить артишоку посівного екстракту сухого (cynara scolymus) (екстрагент етанол 60 %) з вмістом гідроксикоричних кислот не менше 2,5 %, у перерахуванні на суху речовину 100 мг</w:t>
            </w:r>
          </w:p>
        </w:tc>
        <w:tc>
          <w:tcPr>
            <w:tcW w:w="221" w:type="dxa"/>
          </w:tcPr>
          <w:p w:rsidR="00047EBC" w:rsidRDefault="00047EBC" w:rsidP="003774AB">
            <w:pPr>
              <w:pStyle w:val="a3"/>
              <w:rPr>
                <w:rFonts w:ascii="Times New Roman" w:eastAsia="Times New Roman" w:hAnsi="Times New Roman" w:cs="Times New Roman"/>
                <w:sz w:val="28"/>
                <w:szCs w:val="28"/>
              </w:rPr>
            </w:pPr>
            <w:r w:rsidRPr="00047EBC">
              <w:rPr>
                <w:rFonts w:ascii="Times New Roman" w:eastAsia="Times New Roman" w:hAnsi="Times New Roman" w:cs="Times New Roman"/>
                <w:sz w:val="28"/>
                <w:szCs w:val="28"/>
              </w:rPr>
              <w:t>Товариство з обмеженою відповідальністю "Харківське фармацевтичне підприємство "Здоров'я народу"</w:t>
            </w:r>
          </w:p>
          <w:p w:rsidR="00047EBC" w:rsidRDefault="00047EBC" w:rsidP="003774AB">
            <w:pPr>
              <w:pStyle w:val="a3"/>
              <w:rPr>
                <w:rFonts w:ascii="Times New Roman" w:eastAsia="Times New Roman" w:hAnsi="Times New Roman" w:cs="Times New Roman"/>
                <w:sz w:val="28"/>
                <w:szCs w:val="28"/>
              </w:rPr>
            </w:pPr>
          </w:p>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4A24F985" wp14:editId="0785428E">
                  <wp:extent cx="1998921" cy="1998921"/>
                  <wp:effectExtent l="0" t="0" r="1905" b="1905"/>
                  <wp:docPr id="36" name="Рисунок 36" descr="Артихол: инструкция + цена от 23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Артихол: инструкция + цена от 23 грн в аптеках | Tabletki.ua"/>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1998781" cy="1998781"/>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АРТІХОЛ</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таблетка містить артишоку сухого екстракту 200 мг</w:t>
            </w:r>
          </w:p>
        </w:tc>
        <w:tc>
          <w:tcPr>
            <w:tcW w:w="221" w:type="dxa"/>
          </w:tcPr>
          <w:p w:rsidR="00047EBC" w:rsidRDefault="00047EBC" w:rsidP="003774AB">
            <w:pPr>
              <w:pStyle w:val="a3"/>
              <w:rPr>
                <w:rFonts w:ascii="Times New Roman" w:eastAsia="Times New Roman" w:hAnsi="Times New Roman" w:cs="Times New Roman"/>
                <w:sz w:val="28"/>
                <w:szCs w:val="28"/>
              </w:rPr>
            </w:pPr>
            <w:r w:rsidRPr="00047EBC">
              <w:rPr>
                <w:rFonts w:ascii="Times New Roman" w:eastAsia="Times New Roman" w:hAnsi="Times New Roman" w:cs="Times New Roman"/>
                <w:sz w:val="28"/>
                <w:szCs w:val="28"/>
              </w:rPr>
              <w:t>АТ "КИЇВСЬКИЙ ВІТАМІННИЙ ЗАВОД"</w:t>
            </w:r>
          </w:p>
          <w:p w:rsidR="00047EBC" w:rsidRDefault="00047EBC" w:rsidP="003774AB">
            <w:pPr>
              <w:pStyle w:val="a3"/>
              <w:rPr>
                <w:rFonts w:ascii="Times New Roman" w:eastAsia="Times New Roman" w:hAnsi="Times New Roman" w:cs="Times New Roman"/>
                <w:sz w:val="28"/>
                <w:szCs w:val="28"/>
              </w:rPr>
            </w:pPr>
          </w:p>
          <w:p w:rsidR="00047EBC"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1E56EFE5" wp14:editId="083DE169">
                  <wp:extent cx="2137410" cy="2137410"/>
                  <wp:effectExtent l="0" t="0" r="0" b="0"/>
                  <wp:docPr id="35" name="Рисунок 35" descr="Аллохол: инструкция + цена от 112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Аллохол: инструкция + цена от 112 грн в аптеках | Tabletki.ua"/>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137410" cy="2137410"/>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АЛОХОЛ</w:t>
            </w:r>
          </w:p>
        </w:tc>
        <w:tc>
          <w:tcPr>
            <w:tcW w:w="1953" w:type="dxa"/>
          </w:tcPr>
          <w:p w:rsidR="00047EBC" w:rsidRPr="00A570B1"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таблетка містить жовчі сухої (у перерахуванні на суху речовину та кількісний вміст холевої кислоти) – 80 мг, порошку часнику сушеного (Аlliі sativi bulbi риlvіs) – 40 мг, листя кропиви подрібненого (Urticae Fоlium) – 5 мг, вугілля активованого – 25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Публічне акціонерне товариство "Науково-виробничий центр "Борщагівський хіміко-фармацевтичний завод"</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48FD3BFB" wp14:editId="35F2E6EC">
                  <wp:extent cx="2296633" cy="1688254"/>
                  <wp:effectExtent l="0" t="0" r="8890" b="7620"/>
                  <wp:docPr id="32" name="Рисунок 32" descr="Гепабене: инструкция + цена от 207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Гепабене: инструкция + цена от 207 грн в аптеках | Tabletki.ua"/>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296515" cy="1688167"/>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ГЕПАБЕНЕ</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капсула містить екстракту сухого трави рутки лікарської (Fumaria officinalis, співвідношення лікарської рослинної сировини та екстракту 4–6:1, екстрагент – вода) 275,1 мг; екстракту сухого плодів розторопші плямистої (Silybum marianum, співвідношення лікарської рослинної сировини та екстракту 20–50:1, екстрагент – ацетон) 83,33–100 мг, що еквівалентно силімарину 50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Меркле ГмбХ (виробництво нерозфасованого продукту, дозвіл на випуск серії; первинна та вторинна упаковка, контроль якості)</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4291C44D" wp14:editId="6D248C45">
                  <wp:extent cx="1626782" cy="1626782"/>
                  <wp:effectExtent l="0" t="0" r="0" b="0"/>
                  <wp:docPr id="34" name="Рисунок 34" descr="Дарсил: инструкция + цена от 43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Дарсил: инструкция + цена от 43 грн в аптеках | Tabletki.ua"/>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626668" cy="1626668"/>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ДАРСІЛ®</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таблетка містить силімарину, визначеного за силібініном (у перерахуванні на 100 % суху речовину) 22,5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ПрАТ "Фармацевтична фірма "Дарниця"</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2E262C27" wp14:editId="09789C07">
                  <wp:extent cx="2179675" cy="2179675"/>
                  <wp:effectExtent l="0" t="0" r="0" b="0"/>
                  <wp:docPr id="30" name="Рисунок 30" descr="ЖОВЧОГІННИЙ ЗБІР №2 50Г: ціна, інструкція, відгуки в мережі аптек Virid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ЖОВЧОГІННИЙ ЗБІР №2 50Г: ціна, інструкція, відгуки в мережі аптек Viridis"/>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179560" cy="2179560"/>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ЖОВЧОГІННИЙ ЗБІР № 2</w:t>
            </w:r>
          </w:p>
        </w:tc>
        <w:tc>
          <w:tcPr>
            <w:tcW w:w="1953" w:type="dxa"/>
          </w:tcPr>
          <w:p w:rsidR="00047EBC" w:rsidRPr="00B976B9"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г збору містить: цмину піщаного квіток (Helichrysi arenarii flores) 0,4 г, деревію трави (Millefolii herba) 0,2 г, м’яти перцевої листя (Menthae piperitae folia) 0,2 г, коріандру плодів (Coriandri fructus) 0,2 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ПрАТ "Ліктрави"</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7306736F" wp14:editId="598760AF">
                  <wp:extent cx="1945758" cy="1945758"/>
                  <wp:effectExtent l="0" t="0" r="0" b="0"/>
                  <wp:docPr id="28" name="Рисунок 28" descr="Карсил таблетки гепатопротектор по 22.5 мг, 80 шт.: інструкція, ціна,  відгуки, аналоги. Купити Карсил таблетки гепатопротектор по 22.5 мг, 80 шт.  від Sopharma в Україні: Київ, Харків, Одеса, Дніпро, Харків, Львів,  Запоріжж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Карсил таблетки гепатопротектор по 22.5 мг, 80 шт.: інструкція, ціна,  відгуки, аналоги. Купити Карсил таблетки гепатопротектор по 22.5 мг, 80 шт.  від Sopharma в Україні: Київ, Харків, Одеса, Дніпро, Харків, Львів,  Запоріжжя,"/>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1942222" cy="1942222"/>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КАРСИЛ®</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таблетка, вкрита оболонкою, містить сухого екстракту плодів розторопші плямистої (Silybi mariani fructus extractum siccum) (35-50:1) (екстрагент: метанол  99,0 %) – 40,9-56,3 мг, що еквівалентно 22,5 мг силімарину</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АТ "Софарма"</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Болгарія</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3995010D" wp14:editId="245623A5">
                  <wp:extent cx="2466975" cy="1860550"/>
                  <wp:effectExtent l="0" t="0" r="9525" b="6350"/>
                  <wp:docPr id="29" name="Рисунок 29" descr="Карсил форте: інструкція + ціна від 183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Карсил форте: інструкція + ціна від 183 грн в аптеках | Tabletki.ua"/>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466975" cy="1860550"/>
                          </a:xfrm>
                          <a:prstGeom prst="rect">
                            <a:avLst/>
                          </a:prstGeom>
                          <a:noFill/>
                          <a:ln>
                            <a:noFill/>
                          </a:ln>
                        </pic:spPr>
                      </pic:pic>
                    </a:graphicData>
                  </a:graphic>
                </wp:inline>
              </w:drawing>
            </w:r>
            <w:r w:rsidRPr="00047EBC">
              <w:rPr>
                <w:rFonts w:ascii="Times New Roman" w:eastAsia="Times New Roman" w:hAnsi="Times New Roman" w:cs="Times New Roman"/>
                <w:noProof/>
                <w:sz w:val="28"/>
                <w:szCs w:val="28"/>
                <w:lang w:eastAsia="uk-UA"/>
              </w:rPr>
              <mc:AlternateContent>
                <mc:Choice Requires="wps">
                  <w:drawing>
                    <wp:inline distT="0" distB="0" distL="0" distR="0" wp14:anchorId="17A23534" wp14:editId="44DFD193">
                      <wp:extent cx="308610" cy="308610"/>
                      <wp:effectExtent l="0" t="0" r="0" b="0"/>
                      <wp:docPr id="25" name="Прямоугольник 25" descr="Карсил форте капсули тверді 90 мг №30 - в наявності: 120+ аптек Київ Львів"/>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8610" cy="308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2C37867" id="Прямоугольник 25" o:spid="_x0000_s1026" alt="Карсил форте капсули тверді 90 мг №30 - в наявності: 120+ аптек Київ Львів" style="width:24.3pt;height:2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mmDSwMAAFEGAAAOAAAAZHJzL2Uyb0RvYy54bWysVd1u2zYUvh+wdyB4OyiSHNmxhChFasfD&#10;gKwt0O0BaImyiEmkRjJRsmFA+nNZoHcpsF3sFQJ3BYJmy16BeoU9yQ4p2/npTdFWFzR5zuF3/j4e&#10;7z44qSt0TKVigqc43AowojwTOeOLFP/4w8wbY6Q04TmpBKcpPqUKP9j7+qvdtknoQJSiyqlEAMJV&#10;0jYpLrVuEt9XWUlrorZEQzkoCyFrouEoF34uSQvodeUPgmDkt0LmjRQZVQqk016J9xx+UdBMPy4K&#10;RTWqUgyxabdKt87t6u/tkmQhSVOybBUG+YQoasI4ON1ATYkm6EiyD6BqlkmhRKG3MlH7oihYRl0O&#10;kE0Y3MvmaUka6nKB4qhmUyb15WCzR8dPJGJ5igdDjDipoUfmz+6se23+NtfdC/PWXJur7pX5x1ya&#10;98ga5VRlUEHzu7kAu2cgv0LdSzA+656bd8i8Nxfm3+4Z3L0ylwhkS/OuOzN/decoDhDAvkX/vTzf&#10;DpCHzBIB8AU4W8LvNVx63p0nKBwE3yCHAoDgFVxddm+s8R8QybI7N0vbuLZRCcT/tHkibelVcyiy&#10;nxTiYlISvqD7qoH2Aykhr7VIStGWlORQwdBC+Hcw7EEBGpq334scKkGOtHBtPSlkbX1Aw9CJY8/p&#10;hj30RKMMhNvBeBQCxzJQrfbWA0nWlxup9LdU1MhuUiwhOgdOjg+V7k3XJtYXFzNWVSAnScXvCACz&#10;l4BruGp1NgjHt1/jID4YH4wjLxqMDrwomE69/dkk8kazcGc43Z5OJtPwN+s3jJKS5Tnl1s2a+2H0&#10;cdxavcKetRv2K1Gx3MLZkJRczCeVRMcE3t7Mfa7koLkx8++G4eoFudxLKRxEwcNB7M1G4x0vmkVD&#10;L94Jxl4Qxg/jURDF0XR2N6VDxunnp4TaFMdD4LxL5yboe7kF7vswN5LUTMN0q1id4vHGiCSWgQc8&#10;d63VhFX9/lYpbPg3pYB2rxvt+Gop2rN/LvJToKsUQCdgHsxh2JRC/oJRCzMtxernIyIpRtV3HCgf&#10;h1Fkh6A7RMOdARzkbc38tobwDKBSrDHqtxPdD86jRrJFCZ5CVxgu9uGZFMxR2D6hPqrV44K55TJZ&#10;zVg7GG+fndXNP8He/wAAAP//AwBQSwMEFAAGAAgAAAAhAJj2bA3ZAAAAAwEAAA8AAABkcnMvZG93&#10;bnJldi54bWxMj0FLw0AQhe+C/2EZwYvYjSKlxGyKFMQiQjHVnqfZMQlmZ9PsNon/3tEe9DKP4Q3v&#10;fZMtJ9eqgfrQeDZwM0tAEZfeNlwZeNs+Xi9AhYhssfVMBr4owDI/P8swtX7kVxqKWCkJ4ZCigTrG&#10;LtU6lDU5DDPfEYv34XuHUda+0rbHUcJdq2+TZK4dNiwNNXa0qqn8LI7OwFhuht325UlvrnZrz4f1&#10;YVW8PxtzeTE93IOKNMW/Y/jBF3TIhWnvj2yDag3II/F3ine3mIPan1Tnmf7Pnn8DAAD//wMAUEsB&#10;Ai0AFAAGAAgAAAAhALaDOJL+AAAA4QEAABMAAAAAAAAAAAAAAAAAAAAAAFtDb250ZW50X1R5cGVz&#10;XS54bWxQSwECLQAUAAYACAAAACEAOP0h/9YAAACUAQAACwAAAAAAAAAAAAAAAAAvAQAAX3JlbHMv&#10;LnJlbHNQSwECLQAUAAYACAAAACEAAF5pg0sDAABRBgAADgAAAAAAAAAAAAAAAAAuAgAAZHJzL2Uy&#10;b0RvYy54bWxQSwECLQAUAAYACAAAACEAmPZsDdkAAAADAQAADwAAAAAAAAAAAAAAAAClBQAAZHJz&#10;L2Rvd25yZXYueG1sUEsFBgAAAAAEAAQA8wAAAKsGAAAAAA==&#10;" filled="f" stroked="f">
                      <o:lock v:ext="edit" aspectratio="t"/>
                      <w10:anchorlock/>
                    </v:rect>
                  </w:pict>
                </mc:Fallback>
              </mc:AlternateContent>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КАРСИЛ® ФОРТЕ</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капсула містить 163,6-225,0 мг сухого екстракту плодів розторопші плямистої (Silybi mariani fructus extractum siccum) (35-50:1), що еквівалентно 90 мг силімарину, визначеного за силібініном (ВЕРХ)</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АТ "Софарма"</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Болгарія</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5977CB65" wp14:editId="63C2B71C">
                  <wp:extent cx="2456121" cy="2456121"/>
                  <wp:effectExtent l="0" t="0" r="1905" b="1905"/>
                  <wp:docPr id="20" name="Рисунок 20" descr="Кукурудзи стовпчики з приймочками в фільтр-пакетах по 1,5г 20шт  (4820085400146) Віола (Україна) - інструкція, купити за низькою ціною в  Україні | Аналоги, відгуки - МІС Аптека 9-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Кукурудзи стовпчики з приймочками в фільтр-пакетах по 1,5г 20шт  (4820085400146) Віола (Україна) - інструкція, купити за низькою ціною в  Україні | Аналоги, відгуки - МІС Аптека 9-1-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456101" cy="2456101"/>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КУКУРУДЗИ СТОВПЧИКИ З ПРИЙМОЧКАМИ</w:t>
            </w:r>
          </w:p>
        </w:tc>
        <w:tc>
          <w:tcPr>
            <w:tcW w:w="1953" w:type="dxa"/>
          </w:tcPr>
          <w:p w:rsidR="00047EBC" w:rsidRPr="00B976B9"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пачка містить: кукурудзи стовпчиків з приймочками (Zeae maydis styli cum stigmatis) 40 г або 50 г</w:t>
            </w:r>
          </w:p>
        </w:tc>
        <w:tc>
          <w:tcPr>
            <w:tcW w:w="221" w:type="dxa"/>
          </w:tcPr>
          <w:p w:rsidR="00047EBC" w:rsidRPr="003774AB" w:rsidRDefault="00047EBC" w:rsidP="003774AB">
            <w:pPr>
              <w:pStyle w:val="a3"/>
              <w:rPr>
                <w:rFonts w:ascii="Times New Roman" w:eastAsia="Times New Roman" w:hAnsi="Times New Roman" w:cs="Times New Roman"/>
                <w:sz w:val="28"/>
                <w:szCs w:val="28"/>
              </w:rPr>
            </w:pPr>
          </w:p>
        </w:tc>
      </w:tr>
      <w:tr w:rsidR="00047EBC" w:rsidRPr="003774AB" w:rsidTr="00047EBC">
        <w:tc>
          <w:tcPr>
            <w:tcW w:w="440" w:type="dxa"/>
          </w:tcPr>
          <w:p w:rsidR="00047EBC" w:rsidRPr="003774AB" w:rsidRDefault="00047EBC" w:rsidP="00B976B9">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3FF789B5" wp14:editId="166ACB1C">
                  <wp:extent cx="1903228" cy="1903228"/>
                  <wp:effectExtent l="0" t="0" r="1905" b="1905"/>
                  <wp:docPr id="18" name="Рисунок 18" descr="Легалон 140: інструкція + ціна від 452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Легалон 140: інструкція + ціна від 452 грн в аптеках | Tabletki.ua"/>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1903095" cy="1903095"/>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ЛЕГАЛОН® 140</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капсула містить 173–186,7 мг сухого екстракту з плодів розторопші плямистої (Silybum marianum) [36-44:1], що відповідає 140 мг силімарину (DNPH), або 108,2 мг силімарину (ВЕРХ/DAB) у перерахуванні на силібінін (розчинник – етилацетат)</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МАДАУС ГмбХ</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19FEA94C" wp14:editId="59B17DF5">
                  <wp:extent cx="2296633" cy="2296633"/>
                  <wp:effectExtent l="0" t="0" r="8890" b="8890"/>
                  <wp:docPr id="19" name="Рисунок 19" descr="ᐉ Легалон 70 капсули 70 мг №60 - ціна, інструкція, відгуки, купити в Аптеці  Низьких Цін з доставкою по Україн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ᐉ Легалон 70 капсули 70 мг №60 - ціна, інструкція, відгуки, купити в Аптеці  Низьких Цін з доставкою по Україні"/>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292459" cy="2292459"/>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ЛЕГАЛОН® 70</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капсула містить 86,5–93,3 мг сухого екстракту з плодів розторопші плямистої (Silybum marianum) [36-44:1], що відповідає 70 мг силімарину (DNPH), або 54,1 мг силімарину (ВЕРХ/DAB) у перерахуванні на силібінін (розчинник – етилацетат)</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МАДАУС ГмбХ</w:t>
            </w:r>
          </w:p>
          <w:p w:rsidR="0053000D" w:rsidRDefault="0053000D" w:rsidP="003774AB">
            <w:pPr>
              <w:pStyle w:val="a3"/>
              <w:rPr>
                <w:rFonts w:ascii="Times New Roman" w:eastAsia="Times New Roman" w:hAnsi="Times New Roman" w:cs="Times New Roman"/>
                <w:sz w:val="28"/>
                <w:szCs w:val="28"/>
              </w:rPr>
            </w:pP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093A066F" wp14:editId="12158F6B">
                  <wp:extent cx="2179674" cy="2179674"/>
                  <wp:effectExtent l="0" t="0" r="0" b="0"/>
                  <wp:docPr id="16" name="Рисунок 16" descr="Пижма квітки по 75 г у пач. з внут. пак. : інструкція + ціна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Пижма квітки по 75 г у пач. з внут. пак. : інструкція + ціна в аптеках |  Tabletki.ua"/>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2179522" cy="2179522"/>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F764DE">
              <w:rPr>
                <w:rFonts w:ascii="Times New Roman" w:eastAsia="Times New Roman" w:hAnsi="Times New Roman" w:cs="Times New Roman"/>
                <w:sz w:val="28"/>
                <w:szCs w:val="28"/>
              </w:rPr>
              <w:t>ПИЖМА КВІТКИ</w:t>
            </w:r>
          </w:p>
        </w:tc>
        <w:tc>
          <w:tcPr>
            <w:tcW w:w="1953" w:type="dxa"/>
          </w:tcPr>
          <w:p w:rsidR="00047EBC" w:rsidRPr="00B976B9" w:rsidRDefault="00047EBC" w:rsidP="003774AB">
            <w:pPr>
              <w:pStyle w:val="a3"/>
              <w:rPr>
                <w:rFonts w:ascii="Times New Roman" w:eastAsia="Times New Roman" w:hAnsi="Times New Roman" w:cs="Times New Roman"/>
                <w:sz w:val="28"/>
                <w:szCs w:val="28"/>
              </w:rPr>
            </w:pPr>
            <w:r w:rsidRPr="00F764DE">
              <w:rPr>
                <w:rFonts w:ascii="Times New Roman" w:eastAsia="Times New Roman" w:hAnsi="Times New Roman" w:cs="Times New Roman"/>
                <w:sz w:val="28"/>
                <w:szCs w:val="28"/>
              </w:rPr>
              <w:t>пижма квітки</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ПрАТ "Ліктрави"</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val="ru-RU" w:eastAsia="ko-KR"/>
              </w:rPr>
              <w:tab/>
            </w:r>
            <w:r>
              <w:rPr>
                <w:noProof/>
                <w:lang w:eastAsia="uk-UA"/>
              </w:rPr>
              <w:drawing>
                <wp:inline distT="0" distB="0" distL="0" distR="0" wp14:anchorId="602BAD19" wp14:editId="069C7EE3">
                  <wp:extent cx="1903228" cy="1903228"/>
                  <wp:effectExtent l="0" t="0" r="1905" b="1905"/>
                  <wp:docPr id="15" name="Рисунок 15" descr="Полифитол-1 настойка для перорального применения, 100 мл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Полифитол-1 настойка для перорального применения, 100 мл "/>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1903128" cy="1903128"/>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ПОЛІФІТОЛ-1</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мл препарату містить екстракт рідкий (1:7, 14) (екстрагент – етанол 40 %) з суміші: м’яти перцевої листя (Menthae piperitae folia) 30 мг; цмину піщаного квіток (Helishrysi arenarii flores) 10 мг; звіробою трави (Hyperici herba) 10 мг; полину гіркого трави (Absinthii herba) 0,1 мг; дуба кори (Quercus cortex) 20 мг; калгану кореневищ (Tormentillae rhizomata) 20 мг; аїру кореневищ (Calami rhizomata) 10 мг; кульбаби коренів (Taraxaci radices) 10 мг; кукурудзи стовпчиків з приймочками (Zeae maydis styli cum stigmatis) 10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ТОВ "ДКП "Фармацевтична фабрика"</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3CBC8609" wp14:editId="276ECA42">
                  <wp:extent cx="2366602" cy="1916688"/>
                  <wp:effectExtent l="0" t="0" r="0" b="7620"/>
                  <wp:docPr id="14" name="Рисунок 14" descr="Рафахолін Ц: інструкція + ціна від 117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Рафахолін Ц: інструкція + ціна від 117 грн в аптеках | Tabletki.ua"/>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370213" cy="1919612"/>
                          </a:xfrm>
                          <a:prstGeom prst="rect">
                            <a:avLst/>
                          </a:prstGeom>
                          <a:noFill/>
                          <a:ln>
                            <a:noFill/>
                          </a:ln>
                        </pic:spPr>
                      </pic:pic>
                    </a:graphicData>
                  </a:graphic>
                </wp:inline>
              </w:drawing>
            </w:r>
          </w:p>
        </w:tc>
        <w:tc>
          <w:tcPr>
            <w:tcW w:w="2005" w:type="dxa"/>
          </w:tcPr>
          <w:p w:rsidR="00047EBC" w:rsidRPr="00A570B1" w:rsidRDefault="00047EBC" w:rsidP="00A570B1">
            <w:pPr>
              <w:pStyle w:val="a3"/>
              <w:spacing w:line="360" w:lineRule="auto"/>
              <w:jc w:val="both"/>
              <w:rPr>
                <w:rFonts w:ascii="Times New Roman" w:eastAsia="Times New Roman" w:hAnsi="Times New Roman" w:cs="Times New Roman"/>
                <w:sz w:val="28"/>
                <w:szCs w:val="28"/>
              </w:rPr>
            </w:pPr>
            <w:r w:rsidRPr="00F764DE">
              <w:rPr>
                <w:rFonts w:ascii="Times New Roman" w:eastAsia="Times New Roman" w:hAnsi="Times New Roman" w:cs="Times New Roman"/>
                <w:sz w:val="28"/>
                <w:szCs w:val="28"/>
              </w:rPr>
              <w:t>РАФАХОЛІН Ц</w:t>
            </w:r>
          </w:p>
        </w:tc>
        <w:tc>
          <w:tcPr>
            <w:tcW w:w="1953" w:type="dxa"/>
          </w:tcPr>
          <w:p w:rsidR="00047EBC" w:rsidRPr="00A570B1" w:rsidRDefault="00047EBC" w:rsidP="003774AB">
            <w:pPr>
              <w:pStyle w:val="a3"/>
              <w:rPr>
                <w:rFonts w:ascii="Times New Roman" w:eastAsia="Times New Roman" w:hAnsi="Times New Roman" w:cs="Times New Roman"/>
                <w:sz w:val="28"/>
                <w:szCs w:val="28"/>
              </w:rPr>
            </w:pPr>
            <w:r w:rsidRPr="00F764DE">
              <w:rPr>
                <w:rFonts w:ascii="Times New Roman" w:eastAsia="Times New Roman" w:hAnsi="Times New Roman" w:cs="Times New Roman"/>
                <w:sz w:val="28"/>
                <w:szCs w:val="28"/>
              </w:rPr>
              <w:t>1 таблетка містить: екстракту чорної редьки сухого (Raphani sativi nigri radicis) (15 – 21:1) з вугіллям активованим (1:1) 150 мг (екстрагент етанол 85 %); екстракту трави артишоку густого (Cynarae herbae) 47 мг (екстрагент етанол 50 %); кислоти дегідрохолевої 40 мг; олії м’яти перцевої 15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Вроцлавське підприємство лікарських трав "ГЕРБАПОЛЬ" АТ</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Польща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60520849" wp14:editId="4614CF35">
                  <wp:extent cx="2828260" cy="1414130"/>
                  <wp:effectExtent l="0" t="0" r="0" b="0"/>
                  <wp:docPr id="13" name="Рисунок 13" descr="Силібор 35: інструкція + ціна від 30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Силібор 35: інструкція + ціна від 30 грн в аптеках | Tabletki.ua"/>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825632" cy="1412816"/>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 xml:space="preserve">СИЛІБОР 35 </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таблетка містить розторопші плямистої екстракту сухого (22–27:1, екстрагент – ацетон 95 %), що еквівалентно силімарину 35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Товариство з обмеженою відповідальністю "Фармацевтична компанія "Здоров'я"</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275DF34E" wp14:editId="5A4BC303">
                  <wp:extent cx="2541181" cy="2541181"/>
                  <wp:effectExtent l="0" t="0" r="0" b="0"/>
                  <wp:docPr id="12" name="Рисунок 12" descr="Силібор макс капсули по 140 мг №20 (10х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Силібор макс капсули по 140 мг №20 (10х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541004" cy="2541004"/>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СИЛІБОР МАКС</w:t>
            </w:r>
          </w:p>
          <w:p w:rsidR="00047EBC" w:rsidRPr="003774AB" w:rsidRDefault="00047EBC" w:rsidP="00A570B1">
            <w:pPr>
              <w:pStyle w:val="a3"/>
              <w:spacing w:line="360" w:lineRule="auto"/>
              <w:jc w:val="both"/>
              <w:rPr>
                <w:rFonts w:ascii="Times New Roman" w:eastAsia="Times New Roman" w:hAnsi="Times New Roman" w:cs="Times New Roman"/>
                <w:sz w:val="28"/>
                <w:szCs w:val="28"/>
              </w:rPr>
            </w:pP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капсула містить розторопші плямистої екстракту сухого (Silybi mariani extractum siccum) (22-27:1, екстрагент — ацетон 95 %), що еквівалентно силімарину — 140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Товариство з обмеженою відповідальністю "Фармацевтична компанія "Здоров'я"</w:t>
            </w:r>
          </w:p>
          <w:p w:rsidR="0053000D" w:rsidRDefault="0053000D" w:rsidP="003774AB">
            <w:pPr>
              <w:pStyle w:val="a3"/>
              <w:rPr>
                <w:rFonts w:ascii="Times New Roman" w:eastAsia="Times New Roman" w:hAnsi="Times New Roman" w:cs="Times New Roman"/>
                <w:sz w:val="28"/>
                <w:szCs w:val="28"/>
              </w:rPr>
            </w:pP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27853577" wp14:editId="3C60D4DF">
                  <wp:extent cx="2254103" cy="2254103"/>
                  <wp:effectExtent l="0" t="0" r="0" b="0"/>
                  <wp:docPr id="11" name="Рисунок 11" descr="Силібор форте капсули по 70 мг №20 (10х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Силібор форте капсули по 70 мг №20 (10х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256202" cy="2256202"/>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СИЛІБОР ФОРТЕ</w:t>
            </w:r>
          </w:p>
          <w:p w:rsidR="00047EBC" w:rsidRPr="003774AB" w:rsidRDefault="00047EBC" w:rsidP="00A570B1">
            <w:pPr>
              <w:pStyle w:val="a3"/>
              <w:spacing w:line="360" w:lineRule="auto"/>
              <w:jc w:val="both"/>
              <w:rPr>
                <w:rFonts w:ascii="Times New Roman" w:eastAsia="Times New Roman" w:hAnsi="Times New Roman" w:cs="Times New Roman"/>
                <w:sz w:val="28"/>
                <w:szCs w:val="28"/>
              </w:rPr>
            </w:pP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капсула містить розторопші плямистої екстракту сухого (Silybi mariani extractum siccum) (22-27:1, екстрагент — ацетон 95 %), що еквівалентно силімарину — 70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Товариство з обмеженою відповідальністю "Фармацевтична компанія "Здоров'я"</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69D34327" wp14:editId="68C42EB2">
                  <wp:extent cx="2721934" cy="2721934"/>
                  <wp:effectExtent l="0" t="0" r="2540" b="2540"/>
                  <wp:docPr id="10" name="Рисунок 10" descr="Триосил таблетки, 100 ш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Триосил таблетки, 100 шт."/>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721906" cy="2721906"/>
                          </a:xfrm>
                          <a:prstGeom prst="rect">
                            <a:avLst/>
                          </a:prstGeom>
                          <a:noFill/>
                          <a:ln>
                            <a:noFill/>
                          </a:ln>
                        </pic:spPr>
                      </pic:pic>
                    </a:graphicData>
                  </a:graphic>
                </wp:inline>
              </w:drawing>
            </w:r>
          </w:p>
        </w:tc>
        <w:tc>
          <w:tcPr>
            <w:tcW w:w="2005" w:type="dxa"/>
          </w:tcPr>
          <w:p w:rsidR="00047EBC" w:rsidRPr="003774AB" w:rsidRDefault="00047EBC" w:rsidP="00A570B1">
            <w:pPr>
              <w:pStyle w:val="a3"/>
              <w:spacing w:line="360" w:lineRule="auto"/>
              <w:jc w:val="both"/>
              <w:rPr>
                <w:rFonts w:ascii="Times New Roman" w:eastAsia="Times New Roman" w:hAnsi="Times New Roman" w:cs="Times New Roman"/>
                <w:sz w:val="28"/>
                <w:szCs w:val="28"/>
              </w:rPr>
            </w:pPr>
            <w:r w:rsidRPr="003774AB">
              <w:rPr>
                <w:rFonts w:ascii="Times New Roman" w:eastAsia="Times New Roman" w:hAnsi="Times New Roman" w:cs="Times New Roman"/>
                <w:sz w:val="28"/>
                <w:szCs w:val="28"/>
              </w:rPr>
              <w:t>ТРИОСИЛ®</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B976B9">
              <w:rPr>
                <w:rFonts w:ascii="Times New Roman" w:eastAsia="Times New Roman" w:hAnsi="Times New Roman" w:cs="Times New Roman"/>
                <w:sz w:val="28"/>
                <w:szCs w:val="28"/>
              </w:rPr>
              <w:t>1 таблетка містить силімарину, визначеного за силібініном (у перерахуванні на 100 % суху речовину), 22,5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ПРАТ "ФІТОФАРМ"</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49404259" wp14:editId="413E2873">
                  <wp:extent cx="2434856" cy="2434856"/>
                  <wp:effectExtent l="0" t="0" r="3810" b="3810"/>
                  <wp:docPr id="9" name="Рисунок 9" descr="Фумарта: инструкция + цена от 139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Фумарта: инструкция + цена от 139 грн в аптеках | Tabletki.ua"/>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434686" cy="2434686"/>
                          </a:xfrm>
                          <a:prstGeom prst="rect">
                            <a:avLst/>
                          </a:prstGeom>
                          <a:noFill/>
                          <a:ln>
                            <a:noFill/>
                          </a:ln>
                        </pic:spPr>
                      </pic:pic>
                    </a:graphicData>
                  </a:graphic>
                </wp:inline>
              </w:drawing>
            </w:r>
          </w:p>
        </w:tc>
        <w:tc>
          <w:tcPr>
            <w:tcW w:w="2005"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ФУМАРТА®</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капсула містить екстракту сухого трави рутки лікарської (Fumaria officinalis L., співвідношення лікарської рослинної сировини та екстракту 4–6:1, екстрагент: вода) – 275,1 мг; екстракту сухого плодів розторопші плямистої (Silybum marianum L. Gaetner, співвідношення лікарської рослинної сировини та екстракту 30–44:1, екстрагент: етилацетат) – 80–98 мг, що еквівалентно силімарину 50 мг</w:t>
            </w:r>
          </w:p>
        </w:tc>
        <w:tc>
          <w:tcPr>
            <w:tcW w:w="221" w:type="dxa"/>
          </w:tcPr>
          <w:p w:rsidR="00047EBC" w:rsidRDefault="0053000D" w:rsidP="003774AB">
            <w:pPr>
              <w:pStyle w:val="a3"/>
              <w:rPr>
                <w:rFonts w:ascii="Times New Roman" w:eastAsia="Times New Roman" w:hAnsi="Times New Roman" w:cs="Times New Roman"/>
                <w:sz w:val="28"/>
                <w:szCs w:val="28"/>
              </w:rPr>
            </w:pPr>
            <w:r w:rsidRPr="0053000D">
              <w:rPr>
                <w:rFonts w:ascii="Times New Roman" w:eastAsia="Times New Roman" w:hAnsi="Times New Roman" w:cs="Times New Roman"/>
                <w:sz w:val="28"/>
                <w:szCs w:val="28"/>
              </w:rPr>
              <w:t>АТ "Фармак"</w:t>
            </w:r>
          </w:p>
          <w:p w:rsidR="0053000D" w:rsidRDefault="0053000D" w:rsidP="003774AB">
            <w:pPr>
              <w:pStyle w:val="a3"/>
              <w:rPr>
                <w:rFonts w:ascii="Times New Roman" w:eastAsia="Times New Roman" w:hAnsi="Times New Roman" w:cs="Times New Roman"/>
                <w:sz w:val="28"/>
                <w:szCs w:val="28"/>
              </w:rPr>
            </w:pPr>
          </w:p>
          <w:p w:rsidR="0053000D" w:rsidRPr="003774AB" w:rsidRDefault="0053000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Ураїн</w:t>
            </w:r>
            <w:r w:rsidR="00E93BDD">
              <w:rPr>
                <w:rFonts w:ascii="Times New Roman" w:eastAsia="Times New Roman" w:hAnsi="Times New Roman" w:cs="Times New Roman"/>
                <w:sz w:val="28"/>
                <w:szCs w:val="28"/>
              </w:rPr>
              <w:t>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19</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08A28EA2" wp14:editId="5F46A1EF">
                  <wp:extent cx="2222205" cy="2222205"/>
                  <wp:effectExtent l="0" t="0" r="6985" b="6985"/>
                  <wp:docPr id="8" name="Рисунок 8" descr="Холелесан: інструкція + ціна від 255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Холелесан: інструкція + ціна від 255 грн в аптеках | Tabletki.ua"/>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222050" cy="2222050"/>
                          </a:xfrm>
                          <a:prstGeom prst="rect">
                            <a:avLst/>
                          </a:prstGeom>
                          <a:noFill/>
                          <a:ln>
                            <a:noFill/>
                          </a:ln>
                        </pic:spPr>
                      </pic:pic>
                    </a:graphicData>
                  </a:graphic>
                </wp:inline>
              </w:drawing>
            </w:r>
          </w:p>
        </w:tc>
        <w:tc>
          <w:tcPr>
            <w:tcW w:w="2005"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ХОЛЕЛЕСАН®</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капсула містить: моркви дикої плодів і нагідок квітів екстракту густого (7,75–13,4):1, отриманого із моркви дикої плодів (Daucus carota) та нагідок квітів (Calendula officinalis), екстрагент етанол 70 %, в перерахунку на суху речовину – 60 мг; цмину піщаного квітів екстракту сухого (Helichrysum arenarium florex) (40:1), екстрагент етанол 50 % (об/об) – 50 мг; куркумін С3 комплексу, отриманого з куркуми довгої коренів (Curcuma longa rhizomes) (64–66):1, екстрагент етилацетат – 20 мг; куркуми довгої олії (турмеронової олії) – 5 мг; м’яти перцевої олії – 7,5 мг</w:t>
            </w:r>
          </w:p>
        </w:tc>
        <w:tc>
          <w:tcPr>
            <w:tcW w:w="221" w:type="dxa"/>
          </w:tcPr>
          <w:p w:rsidR="00047EBC" w:rsidRDefault="00E93BDD" w:rsidP="003774AB">
            <w:pPr>
              <w:pStyle w:val="a3"/>
              <w:rPr>
                <w:rFonts w:ascii="Times New Roman" w:eastAsia="Times New Roman" w:hAnsi="Times New Roman" w:cs="Times New Roman"/>
                <w:sz w:val="28"/>
                <w:szCs w:val="28"/>
              </w:rPr>
            </w:pPr>
            <w:r w:rsidRPr="00E93BDD">
              <w:rPr>
                <w:rFonts w:ascii="Times New Roman" w:eastAsia="Times New Roman" w:hAnsi="Times New Roman" w:cs="Times New Roman"/>
                <w:sz w:val="28"/>
                <w:szCs w:val="28"/>
              </w:rPr>
              <w:t>ПАТ "Київмедпрепарат"</w:t>
            </w:r>
          </w:p>
          <w:p w:rsidR="00E93BDD" w:rsidRDefault="00E93BDD" w:rsidP="003774AB">
            <w:pPr>
              <w:pStyle w:val="a3"/>
              <w:rPr>
                <w:rFonts w:ascii="Times New Roman" w:eastAsia="Times New Roman" w:hAnsi="Times New Roman" w:cs="Times New Roman"/>
                <w:sz w:val="28"/>
                <w:szCs w:val="28"/>
              </w:rPr>
            </w:pPr>
          </w:p>
          <w:p w:rsidR="00E93BDD" w:rsidRPr="003774AB" w:rsidRDefault="00E93BD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Україна</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20</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Pr>
                <w:noProof/>
                <w:lang w:eastAsia="uk-UA"/>
              </w:rPr>
              <w:drawing>
                <wp:inline distT="0" distB="0" distL="0" distR="0" wp14:anchorId="33BF39CC" wp14:editId="4A191722">
                  <wp:extent cx="2062716" cy="1860074"/>
                  <wp:effectExtent l="0" t="0" r="0" b="6985"/>
                  <wp:docPr id="7" name="Рисунок 7" descr="Хофитол: инструкция + цена от 189 грн в аптеках | Tabletki.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Хофитол: инструкция + цена от 189 грн в аптеках | Tabletki.ua"/>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062564" cy="1859937"/>
                          </a:xfrm>
                          <a:prstGeom prst="rect">
                            <a:avLst/>
                          </a:prstGeom>
                          <a:noFill/>
                          <a:ln>
                            <a:noFill/>
                          </a:ln>
                        </pic:spPr>
                      </pic:pic>
                    </a:graphicData>
                  </a:graphic>
                </wp:inline>
              </w:drawing>
            </w:r>
          </w:p>
        </w:tc>
        <w:tc>
          <w:tcPr>
            <w:tcW w:w="2005"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ХОФІТОЛ</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1 таблетка, вкрита оболонкою, містить сухого водного екстракту листя артишоку польового (Cynara scolymus) 200 мг</w:t>
            </w:r>
          </w:p>
        </w:tc>
        <w:tc>
          <w:tcPr>
            <w:tcW w:w="221" w:type="dxa"/>
          </w:tcPr>
          <w:p w:rsidR="00047EBC" w:rsidRDefault="00E93BDD" w:rsidP="003774AB">
            <w:pPr>
              <w:pStyle w:val="a3"/>
              <w:rPr>
                <w:rFonts w:ascii="Times New Roman" w:eastAsia="Times New Roman" w:hAnsi="Times New Roman" w:cs="Times New Roman"/>
                <w:sz w:val="28"/>
                <w:szCs w:val="28"/>
              </w:rPr>
            </w:pPr>
            <w:r w:rsidRPr="00E93BDD">
              <w:rPr>
                <w:rFonts w:ascii="Times New Roman" w:eastAsia="Times New Roman" w:hAnsi="Times New Roman" w:cs="Times New Roman"/>
                <w:sz w:val="28"/>
                <w:szCs w:val="28"/>
              </w:rPr>
              <w:t>Лабораторії Роза-Фітофарма</w:t>
            </w:r>
          </w:p>
          <w:p w:rsidR="00E93BDD" w:rsidRDefault="00E93BDD" w:rsidP="003774AB">
            <w:pPr>
              <w:pStyle w:val="a3"/>
              <w:rPr>
                <w:rFonts w:ascii="Times New Roman" w:eastAsia="Times New Roman" w:hAnsi="Times New Roman" w:cs="Times New Roman"/>
                <w:sz w:val="28"/>
                <w:szCs w:val="28"/>
              </w:rPr>
            </w:pPr>
          </w:p>
          <w:p w:rsidR="00E93BDD" w:rsidRPr="003774AB" w:rsidRDefault="00E93BD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Франція</w:t>
            </w:r>
          </w:p>
        </w:tc>
      </w:tr>
      <w:tr w:rsidR="00047EBC" w:rsidRPr="003774AB" w:rsidTr="00047EBC">
        <w:tc>
          <w:tcPr>
            <w:tcW w:w="440" w:type="dxa"/>
          </w:tcPr>
          <w:p w:rsidR="00047EBC" w:rsidRPr="003774AB" w:rsidRDefault="00047EBC"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5015" w:type="dxa"/>
          </w:tcPr>
          <w:p w:rsidR="00047EBC" w:rsidRPr="003774AB" w:rsidRDefault="00047EBC" w:rsidP="003774AB">
            <w:pPr>
              <w:pStyle w:val="a3"/>
              <w:rPr>
                <w:rFonts w:ascii="Times New Roman" w:eastAsia="Times New Roman" w:hAnsi="Times New Roman" w:cs="Times New Roman"/>
                <w:sz w:val="28"/>
                <w:szCs w:val="28"/>
              </w:rPr>
            </w:pPr>
            <w:r w:rsidRPr="00F764DE">
              <w:rPr>
                <w:rFonts w:ascii="Times New Roman" w:eastAsia="Times New Roman" w:hAnsi="Times New Roman" w:cs="Times New Roman"/>
                <w:noProof/>
                <w:sz w:val="28"/>
                <w:szCs w:val="28"/>
                <w:lang w:eastAsia="uk-UA"/>
              </w:rPr>
              <w:drawing>
                <wp:inline distT="0" distB="0" distL="0" distR="0" wp14:anchorId="3F994CE4" wp14:editId="7727A2FD">
                  <wp:extent cx="2751424" cy="1446028"/>
                  <wp:effectExtent l="0" t="0" r="0" b="1905"/>
                  <wp:docPr id="4" name="Рисунок 4" descr="Цинарікс – інструкція, ціна в аптеках України, застос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Цинарікс – інструкція, ціна в аптеках України, застосування"/>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2751423" cy="1446028"/>
                          </a:xfrm>
                          <a:prstGeom prst="rect">
                            <a:avLst/>
                          </a:prstGeom>
                          <a:noFill/>
                          <a:ln>
                            <a:noFill/>
                          </a:ln>
                        </pic:spPr>
                      </pic:pic>
                    </a:graphicData>
                  </a:graphic>
                </wp:inline>
              </w:drawing>
            </w:r>
          </w:p>
        </w:tc>
        <w:tc>
          <w:tcPr>
            <w:tcW w:w="2005"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ЦИНАРІКС</w:t>
            </w:r>
          </w:p>
        </w:tc>
        <w:tc>
          <w:tcPr>
            <w:tcW w:w="1953" w:type="dxa"/>
          </w:tcPr>
          <w:p w:rsidR="00047EBC" w:rsidRPr="003774AB" w:rsidRDefault="00047EBC" w:rsidP="003774AB">
            <w:pPr>
              <w:pStyle w:val="a3"/>
              <w:rPr>
                <w:rFonts w:ascii="Times New Roman" w:eastAsia="Times New Roman" w:hAnsi="Times New Roman" w:cs="Times New Roman"/>
                <w:sz w:val="28"/>
                <w:szCs w:val="28"/>
              </w:rPr>
            </w:pPr>
            <w:r w:rsidRPr="00A570B1">
              <w:rPr>
                <w:rFonts w:ascii="Times New Roman" w:eastAsia="Times New Roman" w:hAnsi="Times New Roman" w:cs="Times New Roman"/>
                <w:sz w:val="28"/>
                <w:szCs w:val="28"/>
              </w:rPr>
              <w:t>екстракт листя артишоку водний сухий (Extractum Cynarae e folium aquosum siccum) (80 %), стандартизований за вмістом кофеїлхінних кислот принаймні до 3 %, перерахованих за вмістом хлорогенової кислоти — 68,75 мг (екстракт листя артишоку сухий (Cynara scolymus L) (4–6:1) (екстрагент: вода) – 55 мг</w:t>
            </w:r>
          </w:p>
        </w:tc>
        <w:tc>
          <w:tcPr>
            <w:tcW w:w="221" w:type="dxa"/>
          </w:tcPr>
          <w:p w:rsidR="00047EBC" w:rsidRDefault="00E93BDD" w:rsidP="003774AB">
            <w:pPr>
              <w:pStyle w:val="a3"/>
              <w:rPr>
                <w:rFonts w:ascii="Times New Roman" w:eastAsia="Times New Roman" w:hAnsi="Times New Roman" w:cs="Times New Roman"/>
                <w:sz w:val="28"/>
                <w:szCs w:val="28"/>
              </w:rPr>
            </w:pPr>
            <w:r w:rsidRPr="00E93BDD">
              <w:rPr>
                <w:rFonts w:ascii="Times New Roman" w:eastAsia="Times New Roman" w:hAnsi="Times New Roman" w:cs="Times New Roman"/>
                <w:sz w:val="28"/>
                <w:szCs w:val="28"/>
              </w:rPr>
              <w:t>Фармацеутіше фабрік Монтавіт ГмбХ</w:t>
            </w:r>
          </w:p>
          <w:p w:rsidR="00E93BDD" w:rsidRDefault="00E93BDD" w:rsidP="003774AB">
            <w:pPr>
              <w:pStyle w:val="a3"/>
              <w:rPr>
                <w:rFonts w:ascii="Times New Roman" w:eastAsia="Times New Roman" w:hAnsi="Times New Roman" w:cs="Times New Roman"/>
                <w:sz w:val="28"/>
                <w:szCs w:val="28"/>
              </w:rPr>
            </w:pPr>
          </w:p>
          <w:p w:rsidR="00E93BDD" w:rsidRPr="003774AB" w:rsidRDefault="00E93BDD" w:rsidP="003774AB">
            <w:pPr>
              <w:pStyle w:val="a3"/>
              <w:rPr>
                <w:rFonts w:ascii="Times New Roman" w:eastAsia="Times New Roman" w:hAnsi="Times New Roman" w:cs="Times New Roman"/>
                <w:sz w:val="28"/>
                <w:szCs w:val="28"/>
              </w:rPr>
            </w:pPr>
            <w:r>
              <w:rPr>
                <w:rFonts w:ascii="Times New Roman" w:eastAsia="Times New Roman" w:hAnsi="Times New Roman" w:cs="Times New Roman"/>
                <w:sz w:val="28"/>
                <w:szCs w:val="28"/>
              </w:rPr>
              <w:t>Німеччина</w:t>
            </w:r>
          </w:p>
        </w:tc>
      </w:tr>
    </w:tbl>
    <w:p w:rsidR="003774AB" w:rsidRPr="003774AB" w:rsidRDefault="003774AB" w:rsidP="003774AB">
      <w:pPr>
        <w:pStyle w:val="a3"/>
        <w:rPr>
          <w:rFonts w:ascii="Times New Roman" w:eastAsia="Times New Roman" w:hAnsi="Times New Roman" w:cs="Times New Roman"/>
          <w:b/>
          <w:sz w:val="28"/>
          <w:szCs w:val="28"/>
        </w:rPr>
      </w:pPr>
    </w:p>
    <w:sectPr w:rsidR="003774AB" w:rsidRPr="003774AB" w:rsidSect="00B07033">
      <w:headerReference w:type="default" r:id="rId107"/>
      <w:footerReference w:type="default" r:id="rId108"/>
      <w:pgSz w:w="11906" w:h="16838"/>
      <w:pgMar w:top="850" w:right="850" w:bottom="850"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509E" w:rsidRDefault="00E3509E">
      <w:pPr>
        <w:spacing w:after="0" w:line="240" w:lineRule="auto"/>
      </w:pPr>
      <w:r>
        <w:separator/>
      </w:r>
    </w:p>
  </w:endnote>
  <w:endnote w:type="continuationSeparator" w:id="0">
    <w:p w:rsidR="00E3509E" w:rsidRDefault="00E350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2AFF" w:usb1="4000ACFF"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CC"/>
    <w:family w:val="roman"/>
    <w:pitch w:val="variable"/>
    <w:sig w:usb0="A00002EF" w:usb1="4000004B" w:usb2="00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New Roman,Bold">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03256964"/>
      <w:docPartObj>
        <w:docPartGallery w:val="Page Numbers (Bottom of Page)"/>
        <w:docPartUnique/>
      </w:docPartObj>
    </w:sdtPr>
    <w:sdtContent>
      <w:p w:rsidR="00B07033" w:rsidRDefault="00B07033">
        <w:pPr>
          <w:pStyle w:val="ad"/>
          <w:jc w:val="right"/>
        </w:pPr>
        <w:r>
          <w:fldChar w:fldCharType="begin"/>
        </w:r>
        <w:r>
          <w:instrText>PAGE   \* MERGEFORMAT</w:instrText>
        </w:r>
        <w:r>
          <w:fldChar w:fldCharType="separate"/>
        </w:r>
        <w:r w:rsidR="006202E5">
          <w:rPr>
            <w:noProof/>
          </w:rPr>
          <w:t>3</w:t>
        </w:r>
        <w:r>
          <w:fldChar w:fldCharType="end"/>
        </w:r>
      </w:p>
    </w:sdtContent>
  </w:sdt>
  <w:p w:rsidR="00B07033" w:rsidRDefault="00B07033">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509E" w:rsidRDefault="00E3509E">
      <w:pPr>
        <w:spacing w:after="0" w:line="240" w:lineRule="auto"/>
      </w:pPr>
      <w:r>
        <w:separator/>
      </w:r>
    </w:p>
  </w:footnote>
  <w:footnote w:type="continuationSeparator" w:id="0">
    <w:p w:rsidR="00E3509E" w:rsidRDefault="00E350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509E" w:rsidRDefault="00E3509E">
    <w:pPr>
      <w:pStyle w:val="ab"/>
      <w:rPr>
        <w:lang w:val="uk-UA"/>
      </w:rPr>
    </w:pPr>
  </w:p>
  <w:p w:rsidR="00E3509E" w:rsidRPr="00193609" w:rsidRDefault="00E3509E">
    <w:pPr>
      <w:pStyle w:val="ab"/>
      <w:rPr>
        <w:lang w:val="uk-U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01F31"/>
    <w:multiLevelType w:val="multilevel"/>
    <w:tmpl w:val="BC8A6BBC"/>
    <w:lvl w:ilvl="0">
      <w:start w:val="1"/>
      <w:numFmt w:val="decimal"/>
      <w:lvlText w:val="%1."/>
      <w:lvlJc w:val="left"/>
      <w:pPr>
        <w:ind w:left="495" w:hanging="495"/>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0A8F3430"/>
    <w:multiLevelType w:val="hybridMultilevel"/>
    <w:tmpl w:val="AF38A54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61B2BC6"/>
    <w:multiLevelType w:val="hybridMultilevel"/>
    <w:tmpl w:val="1012DAB2"/>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63E0E9D"/>
    <w:multiLevelType w:val="hybridMultilevel"/>
    <w:tmpl w:val="B7A4C07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4" w15:restartNumberingAfterBreak="0">
    <w:nsid w:val="19E93AE7"/>
    <w:multiLevelType w:val="multilevel"/>
    <w:tmpl w:val="FD3CAD48"/>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5" w15:restartNumberingAfterBreak="0">
    <w:nsid w:val="1B3F010B"/>
    <w:multiLevelType w:val="multilevel"/>
    <w:tmpl w:val="62A23686"/>
    <w:lvl w:ilvl="0">
      <w:start w:val="1"/>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105720B"/>
    <w:multiLevelType w:val="hybridMultilevel"/>
    <w:tmpl w:val="A252B074"/>
    <w:lvl w:ilvl="0" w:tplc="A2BCB1E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3AF35DD"/>
    <w:multiLevelType w:val="hybridMultilevel"/>
    <w:tmpl w:val="51360EA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3A244677"/>
    <w:multiLevelType w:val="multilevel"/>
    <w:tmpl w:val="F1165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F5E34FC"/>
    <w:multiLevelType w:val="hybridMultilevel"/>
    <w:tmpl w:val="B9045E3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BB92A78"/>
    <w:multiLevelType w:val="multilevel"/>
    <w:tmpl w:val="0764054C"/>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59FC4EB5"/>
    <w:multiLevelType w:val="hybridMultilevel"/>
    <w:tmpl w:val="84948632"/>
    <w:lvl w:ilvl="0" w:tplc="04220009">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5CC3617C"/>
    <w:multiLevelType w:val="hybridMultilevel"/>
    <w:tmpl w:val="D0167B14"/>
    <w:lvl w:ilvl="0" w:tplc="7CAC3F3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60B54FA4"/>
    <w:multiLevelType w:val="multilevel"/>
    <w:tmpl w:val="FECA2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A260263"/>
    <w:multiLevelType w:val="hybridMultilevel"/>
    <w:tmpl w:val="6B647332"/>
    <w:lvl w:ilvl="0" w:tplc="656068A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E3A718D"/>
    <w:multiLevelType w:val="hybridMultilevel"/>
    <w:tmpl w:val="C8586A5A"/>
    <w:lvl w:ilvl="0" w:tplc="04190009">
      <w:start w:val="1"/>
      <w:numFmt w:val="bullet"/>
      <w:lvlText w:val=""/>
      <w:lvlJc w:val="left"/>
      <w:pPr>
        <w:ind w:left="1636"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F293785"/>
    <w:multiLevelType w:val="hybridMultilevel"/>
    <w:tmpl w:val="69C87532"/>
    <w:lvl w:ilvl="0" w:tplc="5F362010">
      <w:start w:val="1"/>
      <w:numFmt w:val="bullet"/>
      <w:lvlText w:val="•"/>
      <w:lvlJc w:val="left"/>
      <w:pPr>
        <w:tabs>
          <w:tab w:val="num" w:pos="720"/>
        </w:tabs>
        <w:ind w:left="720" w:hanging="360"/>
      </w:pPr>
      <w:rPr>
        <w:rFonts w:ascii="Arial" w:hAnsi="Arial" w:hint="default"/>
      </w:rPr>
    </w:lvl>
    <w:lvl w:ilvl="1" w:tplc="7250C7CA" w:tentative="1">
      <w:start w:val="1"/>
      <w:numFmt w:val="bullet"/>
      <w:lvlText w:val="•"/>
      <w:lvlJc w:val="left"/>
      <w:pPr>
        <w:tabs>
          <w:tab w:val="num" w:pos="1440"/>
        </w:tabs>
        <w:ind w:left="1440" w:hanging="360"/>
      </w:pPr>
      <w:rPr>
        <w:rFonts w:ascii="Arial" w:hAnsi="Arial" w:hint="default"/>
      </w:rPr>
    </w:lvl>
    <w:lvl w:ilvl="2" w:tplc="16ECD6B6" w:tentative="1">
      <w:start w:val="1"/>
      <w:numFmt w:val="bullet"/>
      <w:lvlText w:val="•"/>
      <w:lvlJc w:val="left"/>
      <w:pPr>
        <w:tabs>
          <w:tab w:val="num" w:pos="2160"/>
        </w:tabs>
        <w:ind w:left="2160" w:hanging="360"/>
      </w:pPr>
      <w:rPr>
        <w:rFonts w:ascii="Arial" w:hAnsi="Arial" w:hint="default"/>
      </w:rPr>
    </w:lvl>
    <w:lvl w:ilvl="3" w:tplc="AAA651EA" w:tentative="1">
      <w:start w:val="1"/>
      <w:numFmt w:val="bullet"/>
      <w:lvlText w:val="•"/>
      <w:lvlJc w:val="left"/>
      <w:pPr>
        <w:tabs>
          <w:tab w:val="num" w:pos="2880"/>
        </w:tabs>
        <w:ind w:left="2880" w:hanging="360"/>
      </w:pPr>
      <w:rPr>
        <w:rFonts w:ascii="Arial" w:hAnsi="Arial" w:hint="default"/>
      </w:rPr>
    </w:lvl>
    <w:lvl w:ilvl="4" w:tplc="070CCE0C" w:tentative="1">
      <w:start w:val="1"/>
      <w:numFmt w:val="bullet"/>
      <w:lvlText w:val="•"/>
      <w:lvlJc w:val="left"/>
      <w:pPr>
        <w:tabs>
          <w:tab w:val="num" w:pos="3600"/>
        </w:tabs>
        <w:ind w:left="3600" w:hanging="360"/>
      </w:pPr>
      <w:rPr>
        <w:rFonts w:ascii="Arial" w:hAnsi="Arial" w:hint="default"/>
      </w:rPr>
    </w:lvl>
    <w:lvl w:ilvl="5" w:tplc="2E46C026" w:tentative="1">
      <w:start w:val="1"/>
      <w:numFmt w:val="bullet"/>
      <w:lvlText w:val="•"/>
      <w:lvlJc w:val="left"/>
      <w:pPr>
        <w:tabs>
          <w:tab w:val="num" w:pos="4320"/>
        </w:tabs>
        <w:ind w:left="4320" w:hanging="360"/>
      </w:pPr>
      <w:rPr>
        <w:rFonts w:ascii="Arial" w:hAnsi="Arial" w:hint="default"/>
      </w:rPr>
    </w:lvl>
    <w:lvl w:ilvl="6" w:tplc="047C5F62" w:tentative="1">
      <w:start w:val="1"/>
      <w:numFmt w:val="bullet"/>
      <w:lvlText w:val="•"/>
      <w:lvlJc w:val="left"/>
      <w:pPr>
        <w:tabs>
          <w:tab w:val="num" w:pos="5040"/>
        </w:tabs>
        <w:ind w:left="5040" w:hanging="360"/>
      </w:pPr>
      <w:rPr>
        <w:rFonts w:ascii="Arial" w:hAnsi="Arial" w:hint="default"/>
      </w:rPr>
    </w:lvl>
    <w:lvl w:ilvl="7" w:tplc="8C9E13C0" w:tentative="1">
      <w:start w:val="1"/>
      <w:numFmt w:val="bullet"/>
      <w:lvlText w:val="•"/>
      <w:lvlJc w:val="left"/>
      <w:pPr>
        <w:tabs>
          <w:tab w:val="num" w:pos="5760"/>
        </w:tabs>
        <w:ind w:left="5760" w:hanging="360"/>
      </w:pPr>
      <w:rPr>
        <w:rFonts w:ascii="Arial" w:hAnsi="Arial" w:hint="default"/>
      </w:rPr>
    </w:lvl>
    <w:lvl w:ilvl="8" w:tplc="1ED88E1C"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85E74B5"/>
    <w:multiLevelType w:val="multilevel"/>
    <w:tmpl w:val="1DCA2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7"/>
  </w:num>
  <w:num w:numId="4">
    <w:abstractNumId w:val="8"/>
  </w:num>
  <w:num w:numId="5">
    <w:abstractNumId w:val="13"/>
  </w:num>
  <w:num w:numId="6">
    <w:abstractNumId w:val="10"/>
  </w:num>
  <w:num w:numId="7">
    <w:abstractNumId w:val="5"/>
  </w:num>
  <w:num w:numId="8">
    <w:abstractNumId w:val="6"/>
  </w:num>
  <w:num w:numId="9">
    <w:abstractNumId w:val="9"/>
  </w:num>
  <w:num w:numId="10">
    <w:abstractNumId w:val="7"/>
  </w:num>
  <w:num w:numId="11">
    <w:abstractNumId w:val="15"/>
  </w:num>
  <w:num w:numId="12">
    <w:abstractNumId w:val="14"/>
  </w:num>
  <w:num w:numId="13">
    <w:abstractNumId w:val="11"/>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num>
  <w:num w:numId="16">
    <w:abstractNumId w:val="1"/>
  </w:num>
  <w:num w:numId="17">
    <w:abstractNumId w:val="16"/>
  </w:num>
  <w:num w:numId="18">
    <w:abstractNumId w:val="12"/>
  </w:num>
  <w:num w:numId="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427"/>
    <w:rsid w:val="000168EA"/>
    <w:rsid w:val="00046D80"/>
    <w:rsid w:val="00047EBC"/>
    <w:rsid w:val="00052B4E"/>
    <w:rsid w:val="000617FF"/>
    <w:rsid w:val="000634C0"/>
    <w:rsid w:val="00071B13"/>
    <w:rsid w:val="000B4B6F"/>
    <w:rsid w:val="000D0921"/>
    <w:rsid w:val="000D0B13"/>
    <w:rsid w:val="000F21F1"/>
    <w:rsid w:val="00101084"/>
    <w:rsid w:val="00111D24"/>
    <w:rsid w:val="001203C7"/>
    <w:rsid w:val="001241BD"/>
    <w:rsid w:val="00126098"/>
    <w:rsid w:val="00136ECD"/>
    <w:rsid w:val="00174D70"/>
    <w:rsid w:val="00176424"/>
    <w:rsid w:val="0018154C"/>
    <w:rsid w:val="00193609"/>
    <w:rsid w:val="001A4761"/>
    <w:rsid w:val="001A5C78"/>
    <w:rsid w:val="001A6F8A"/>
    <w:rsid w:val="001B4373"/>
    <w:rsid w:val="001E1905"/>
    <w:rsid w:val="00247572"/>
    <w:rsid w:val="00252859"/>
    <w:rsid w:val="002661B4"/>
    <w:rsid w:val="002670A8"/>
    <w:rsid w:val="00274262"/>
    <w:rsid w:val="0028102A"/>
    <w:rsid w:val="00282217"/>
    <w:rsid w:val="00290B76"/>
    <w:rsid w:val="002A339D"/>
    <w:rsid w:val="002D494E"/>
    <w:rsid w:val="002F5D7A"/>
    <w:rsid w:val="00305862"/>
    <w:rsid w:val="00310E4E"/>
    <w:rsid w:val="00343126"/>
    <w:rsid w:val="003514CF"/>
    <w:rsid w:val="003538B9"/>
    <w:rsid w:val="0037081F"/>
    <w:rsid w:val="003774AB"/>
    <w:rsid w:val="00385B05"/>
    <w:rsid w:val="0039742E"/>
    <w:rsid w:val="003C2BF2"/>
    <w:rsid w:val="003E1E87"/>
    <w:rsid w:val="004030D5"/>
    <w:rsid w:val="00410A3B"/>
    <w:rsid w:val="00425A08"/>
    <w:rsid w:val="00425F43"/>
    <w:rsid w:val="00430BEF"/>
    <w:rsid w:val="004944E3"/>
    <w:rsid w:val="004A2E1A"/>
    <w:rsid w:val="004C2207"/>
    <w:rsid w:val="004D45D6"/>
    <w:rsid w:val="004D5249"/>
    <w:rsid w:val="00516D2F"/>
    <w:rsid w:val="0053000D"/>
    <w:rsid w:val="0053550F"/>
    <w:rsid w:val="00536402"/>
    <w:rsid w:val="00557CB9"/>
    <w:rsid w:val="00560B35"/>
    <w:rsid w:val="00560FAC"/>
    <w:rsid w:val="00572463"/>
    <w:rsid w:val="00577571"/>
    <w:rsid w:val="00585AE1"/>
    <w:rsid w:val="00593A08"/>
    <w:rsid w:val="005A0427"/>
    <w:rsid w:val="005A475B"/>
    <w:rsid w:val="005D44B0"/>
    <w:rsid w:val="005F2300"/>
    <w:rsid w:val="005F6388"/>
    <w:rsid w:val="00603CC2"/>
    <w:rsid w:val="00606830"/>
    <w:rsid w:val="006202E5"/>
    <w:rsid w:val="006259CE"/>
    <w:rsid w:val="006400F2"/>
    <w:rsid w:val="006538F6"/>
    <w:rsid w:val="00667C37"/>
    <w:rsid w:val="00676045"/>
    <w:rsid w:val="00690F93"/>
    <w:rsid w:val="006A0E40"/>
    <w:rsid w:val="006A213F"/>
    <w:rsid w:val="006A66B0"/>
    <w:rsid w:val="006C54FA"/>
    <w:rsid w:val="006D15D2"/>
    <w:rsid w:val="006D5D5F"/>
    <w:rsid w:val="006E3C6C"/>
    <w:rsid w:val="006E4D01"/>
    <w:rsid w:val="006F50F5"/>
    <w:rsid w:val="00706E35"/>
    <w:rsid w:val="00746C60"/>
    <w:rsid w:val="00764AA5"/>
    <w:rsid w:val="00775244"/>
    <w:rsid w:val="007777B7"/>
    <w:rsid w:val="007A76C3"/>
    <w:rsid w:val="007B03C3"/>
    <w:rsid w:val="007C5D3F"/>
    <w:rsid w:val="007E0D07"/>
    <w:rsid w:val="007E11D9"/>
    <w:rsid w:val="007E3477"/>
    <w:rsid w:val="008139FB"/>
    <w:rsid w:val="008201FB"/>
    <w:rsid w:val="008556C7"/>
    <w:rsid w:val="00866059"/>
    <w:rsid w:val="00880E0E"/>
    <w:rsid w:val="008A1D54"/>
    <w:rsid w:val="008A2862"/>
    <w:rsid w:val="008A4D93"/>
    <w:rsid w:val="008C084C"/>
    <w:rsid w:val="008C7A15"/>
    <w:rsid w:val="008D54FD"/>
    <w:rsid w:val="008E7203"/>
    <w:rsid w:val="008F59CB"/>
    <w:rsid w:val="0091109F"/>
    <w:rsid w:val="009317FF"/>
    <w:rsid w:val="009440F1"/>
    <w:rsid w:val="00954287"/>
    <w:rsid w:val="00977A2E"/>
    <w:rsid w:val="00981F31"/>
    <w:rsid w:val="00982F04"/>
    <w:rsid w:val="0098490E"/>
    <w:rsid w:val="00990E54"/>
    <w:rsid w:val="00995F48"/>
    <w:rsid w:val="009A2D70"/>
    <w:rsid w:val="009A6992"/>
    <w:rsid w:val="009B51FA"/>
    <w:rsid w:val="009C4ACB"/>
    <w:rsid w:val="009D1E40"/>
    <w:rsid w:val="009D543F"/>
    <w:rsid w:val="009D54FE"/>
    <w:rsid w:val="009F2CAC"/>
    <w:rsid w:val="00A05113"/>
    <w:rsid w:val="00A23181"/>
    <w:rsid w:val="00A570B1"/>
    <w:rsid w:val="00A74291"/>
    <w:rsid w:val="00A8550B"/>
    <w:rsid w:val="00AB01A3"/>
    <w:rsid w:val="00AD43D9"/>
    <w:rsid w:val="00AD4CC7"/>
    <w:rsid w:val="00AE3692"/>
    <w:rsid w:val="00AE5563"/>
    <w:rsid w:val="00AE6757"/>
    <w:rsid w:val="00AF7622"/>
    <w:rsid w:val="00B07033"/>
    <w:rsid w:val="00B0771A"/>
    <w:rsid w:val="00B10676"/>
    <w:rsid w:val="00B1532C"/>
    <w:rsid w:val="00B314BF"/>
    <w:rsid w:val="00B34FA3"/>
    <w:rsid w:val="00B62C23"/>
    <w:rsid w:val="00B72969"/>
    <w:rsid w:val="00B81E6B"/>
    <w:rsid w:val="00B87AB7"/>
    <w:rsid w:val="00B926EB"/>
    <w:rsid w:val="00B976B9"/>
    <w:rsid w:val="00BB2D59"/>
    <w:rsid w:val="00C72AA3"/>
    <w:rsid w:val="00C73093"/>
    <w:rsid w:val="00C811D9"/>
    <w:rsid w:val="00C82AD5"/>
    <w:rsid w:val="00C92F6A"/>
    <w:rsid w:val="00C97202"/>
    <w:rsid w:val="00CB1FD1"/>
    <w:rsid w:val="00CB355C"/>
    <w:rsid w:val="00CB77E2"/>
    <w:rsid w:val="00CD7963"/>
    <w:rsid w:val="00CE37A3"/>
    <w:rsid w:val="00CE7F6E"/>
    <w:rsid w:val="00CF100F"/>
    <w:rsid w:val="00CF22AE"/>
    <w:rsid w:val="00CF40DB"/>
    <w:rsid w:val="00D00436"/>
    <w:rsid w:val="00D23561"/>
    <w:rsid w:val="00D2525F"/>
    <w:rsid w:val="00D264A1"/>
    <w:rsid w:val="00D27767"/>
    <w:rsid w:val="00D376EC"/>
    <w:rsid w:val="00D5663B"/>
    <w:rsid w:val="00D64824"/>
    <w:rsid w:val="00D73DA4"/>
    <w:rsid w:val="00D77518"/>
    <w:rsid w:val="00D8082A"/>
    <w:rsid w:val="00D87C87"/>
    <w:rsid w:val="00D9529F"/>
    <w:rsid w:val="00DA6DEB"/>
    <w:rsid w:val="00DB7D0E"/>
    <w:rsid w:val="00DE11A2"/>
    <w:rsid w:val="00DF63B4"/>
    <w:rsid w:val="00E03C68"/>
    <w:rsid w:val="00E13253"/>
    <w:rsid w:val="00E15339"/>
    <w:rsid w:val="00E15A39"/>
    <w:rsid w:val="00E20F0A"/>
    <w:rsid w:val="00E3509E"/>
    <w:rsid w:val="00E63DDB"/>
    <w:rsid w:val="00E7450C"/>
    <w:rsid w:val="00E80ACE"/>
    <w:rsid w:val="00E82C04"/>
    <w:rsid w:val="00E93BDD"/>
    <w:rsid w:val="00EC277B"/>
    <w:rsid w:val="00EC6465"/>
    <w:rsid w:val="00ED488A"/>
    <w:rsid w:val="00EE49B3"/>
    <w:rsid w:val="00F13630"/>
    <w:rsid w:val="00F16ED7"/>
    <w:rsid w:val="00F27CFD"/>
    <w:rsid w:val="00F37465"/>
    <w:rsid w:val="00F42EB0"/>
    <w:rsid w:val="00F44B89"/>
    <w:rsid w:val="00F764DE"/>
    <w:rsid w:val="00F827C0"/>
    <w:rsid w:val="00F876E5"/>
    <w:rsid w:val="00FA36B9"/>
    <w:rsid w:val="00FC2A18"/>
    <w:rsid w:val="00FF6BA8"/>
  </w:rsids>
  <m:mathPr>
    <m:mathFont m:val="Cambria Math"/>
    <m:brkBin m:val="before"/>
    <m:brkBinSub m:val="--"/>
    <m:smallFrac m:val="0"/>
    <m:dispDef/>
    <m:lMargin m:val="0"/>
    <m:rMargin m:val="0"/>
    <m:defJc m:val="centerGroup"/>
    <m:wrapIndent m:val="1440"/>
    <m:intLim m:val="subSup"/>
    <m:naryLim m:val="undOvr"/>
  </m:mathPr>
  <w:themeFontLang w:val="uk-UA" w:eastAsia="ko-KR"/>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B56380D"/>
  <w15:docId w15:val="{2E64368B-161E-4BE7-990F-E2CDDA9DD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40F1"/>
  </w:style>
  <w:style w:type="paragraph" w:styleId="1">
    <w:name w:val="heading 1"/>
    <w:basedOn w:val="a"/>
    <w:link w:val="10"/>
    <w:uiPriority w:val="9"/>
    <w:qFormat/>
    <w:rsid w:val="003514C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next w:val="a"/>
    <w:link w:val="20"/>
    <w:uiPriority w:val="9"/>
    <w:semiHidden/>
    <w:unhideWhenUsed/>
    <w:qFormat/>
    <w:rsid w:val="001A5C7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AE675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9440F1"/>
    <w:pPr>
      <w:spacing w:after="0" w:line="240" w:lineRule="auto"/>
    </w:pPr>
  </w:style>
  <w:style w:type="paragraph" w:styleId="HTML">
    <w:name w:val="HTML Preformatted"/>
    <w:basedOn w:val="a"/>
    <w:link w:val="HTML0"/>
    <w:uiPriority w:val="99"/>
    <w:semiHidden/>
    <w:unhideWhenUsed/>
    <w:rsid w:val="009A6992"/>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9A6992"/>
    <w:rPr>
      <w:rFonts w:ascii="Consolas" w:hAnsi="Consolas" w:cs="Consolas"/>
      <w:sz w:val="20"/>
      <w:szCs w:val="20"/>
    </w:rPr>
  </w:style>
  <w:style w:type="character" w:customStyle="1" w:styleId="y2iqfc">
    <w:name w:val="y2iqfc"/>
    <w:basedOn w:val="a0"/>
    <w:rsid w:val="00174D70"/>
  </w:style>
  <w:style w:type="character" w:customStyle="1" w:styleId="mixed-citation">
    <w:name w:val="mixed-citation"/>
    <w:basedOn w:val="a0"/>
    <w:rsid w:val="003514CF"/>
  </w:style>
  <w:style w:type="character" w:customStyle="1" w:styleId="ref-title">
    <w:name w:val="ref-title"/>
    <w:basedOn w:val="a0"/>
    <w:rsid w:val="003514CF"/>
  </w:style>
  <w:style w:type="character" w:customStyle="1" w:styleId="ref-journal">
    <w:name w:val="ref-journal"/>
    <w:basedOn w:val="a0"/>
    <w:rsid w:val="003514CF"/>
  </w:style>
  <w:style w:type="character" w:customStyle="1" w:styleId="ref-vol">
    <w:name w:val="ref-vol"/>
    <w:basedOn w:val="a0"/>
    <w:rsid w:val="003514CF"/>
  </w:style>
  <w:style w:type="character" w:customStyle="1" w:styleId="articleheadermetadoilink">
    <w:name w:val="articleheader__meta_doilink"/>
    <w:basedOn w:val="a0"/>
    <w:rsid w:val="003514CF"/>
  </w:style>
  <w:style w:type="character" w:styleId="a4">
    <w:name w:val="Hyperlink"/>
    <w:basedOn w:val="a0"/>
    <w:uiPriority w:val="99"/>
    <w:unhideWhenUsed/>
    <w:rsid w:val="003514CF"/>
    <w:rPr>
      <w:color w:val="0000FF"/>
      <w:u w:val="single"/>
    </w:rPr>
  </w:style>
  <w:style w:type="character" w:customStyle="1" w:styleId="10">
    <w:name w:val="Заголовок 1 Знак"/>
    <w:basedOn w:val="a0"/>
    <w:link w:val="1"/>
    <w:uiPriority w:val="9"/>
    <w:rsid w:val="003514CF"/>
    <w:rPr>
      <w:rFonts w:ascii="Times New Roman" w:eastAsia="Times New Roman" w:hAnsi="Times New Roman" w:cs="Times New Roman"/>
      <w:b/>
      <w:bCs/>
      <w:kern w:val="36"/>
      <w:sz w:val="48"/>
      <w:szCs w:val="48"/>
      <w:lang w:eastAsia="uk-UA"/>
    </w:rPr>
  </w:style>
  <w:style w:type="character" w:customStyle="1" w:styleId="fm-vol-iss-date">
    <w:name w:val="fm-vol-iss-date"/>
    <w:basedOn w:val="a0"/>
    <w:rsid w:val="003514CF"/>
  </w:style>
  <w:style w:type="character" w:customStyle="1" w:styleId="doi">
    <w:name w:val="doi"/>
    <w:basedOn w:val="a0"/>
    <w:rsid w:val="003514CF"/>
  </w:style>
  <w:style w:type="character" w:customStyle="1" w:styleId="fm-citation-ids-label">
    <w:name w:val="fm-citation-ids-label"/>
    <w:basedOn w:val="a0"/>
    <w:rsid w:val="003514CF"/>
  </w:style>
  <w:style w:type="paragraph" w:styleId="a5">
    <w:name w:val="Balloon Text"/>
    <w:basedOn w:val="a"/>
    <w:link w:val="a6"/>
    <w:uiPriority w:val="99"/>
    <w:semiHidden/>
    <w:unhideWhenUsed/>
    <w:rsid w:val="003514C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3514CF"/>
    <w:rPr>
      <w:rFonts w:ascii="Tahoma" w:hAnsi="Tahoma" w:cs="Tahoma"/>
      <w:sz w:val="16"/>
      <w:szCs w:val="16"/>
    </w:rPr>
  </w:style>
  <w:style w:type="character" w:customStyle="1" w:styleId="ref-iss">
    <w:name w:val="ref-iss"/>
    <w:basedOn w:val="a0"/>
    <w:rsid w:val="00290B76"/>
  </w:style>
  <w:style w:type="character" w:customStyle="1" w:styleId="period">
    <w:name w:val="period"/>
    <w:basedOn w:val="a0"/>
    <w:rsid w:val="007E0D07"/>
  </w:style>
  <w:style w:type="character" w:customStyle="1" w:styleId="ls3">
    <w:name w:val="ls3"/>
    <w:basedOn w:val="a0"/>
    <w:rsid w:val="009A2D70"/>
  </w:style>
  <w:style w:type="character" w:customStyle="1" w:styleId="ls5">
    <w:name w:val="ls5"/>
    <w:basedOn w:val="a0"/>
    <w:rsid w:val="009A2D70"/>
  </w:style>
  <w:style w:type="character" w:customStyle="1" w:styleId="ls6">
    <w:name w:val="ls6"/>
    <w:basedOn w:val="a0"/>
    <w:rsid w:val="009A2D70"/>
  </w:style>
  <w:style w:type="character" w:customStyle="1" w:styleId="ws1">
    <w:name w:val="ws1"/>
    <w:basedOn w:val="a0"/>
    <w:rsid w:val="009A2D70"/>
  </w:style>
  <w:style w:type="character" w:customStyle="1" w:styleId="docsum-journal-citation">
    <w:name w:val="docsum-journal-citation"/>
    <w:basedOn w:val="a0"/>
    <w:rsid w:val="00D27767"/>
  </w:style>
  <w:style w:type="character" w:customStyle="1" w:styleId="30">
    <w:name w:val="Заголовок 3 Знак"/>
    <w:basedOn w:val="a0"/>
    <w:link w:val="3"/>
    <w:uiPriority w:val="9"/>
    <w:semiHidden/>
    <w:rsid w:val="00AE6757"/>
    <w:rPr>
      <w:rFonts w:asciiTheme="majorHAnsi" w:eastAsiaTheme="majorEastAsia" w:hAnsiTheme="majorHAnsi" w:cstheme="majorBidi"/>
      <w:b/>
      <w:bCs/>
      <w:color w:val="4F81BD" w:themeColor="accent1"/>
    </w:rPr>
  </w:style>
  <w:style w:type="paragraph" w:styleId="a7">
    <w:name w:val="List Paragraph"/>
    <w:basedOn w:val="a"/>
    <w:uiPriority w:val="34"/>
    <w:qFormat/>
    <w:rsid w:val="00AE3692"/>
    <w:pPr>
      <w:ind w:left="720"/>
      <w:contextualSpacing/>
    </w:pPr>
  </w:style>
  <w:style w:type="character" w:styleId="a8">
    <w:name w:val="Emphasis"/>
    <w:basedOn w:val="a0"/>
    <w:uiPriority w:val="20"/>
    <w:qFormat/>
    <w:rsid w:val="00764AA5"/>
    <w:rPr>
      <w:i/>
      <w:iCs/>
    </w:rPr>
  </w:style>
  <w:style w:type="character" w:styleId="a9">
    <w:name w:val="FollowedHyperlink"/>
    <w:basedOn w:val="a0"/>
    <w:uiPriority w:val="99"/>
    <w:semiHidden/>
    <w:unhideWhenUsed/>
    <w:rsid w:val="00764AA5"/>
    <w:rPr>
      <w:color w:val="800080" w:themeColor="followedHyperlink"/>
      <w:u w:val="single"/>
    </w:rPr>
  </w:style>
  <w:style w:type="character" w:customStyle="1" w:styleId="anchor-text">
    <w:name w:val="anchor-text"/>
    <w:basedOn w:val="a0"/>
    <w:rsid w:val="00606830"/>
  </w:style>
  <w:style w:type="table" w:styleId="aa">
    <w:name w:val="Table Grid"/>
    <w:basedOn w:val="a1"/>
    <w:uiPriority w:val="39"/>
    <w:rsid w:val="00425A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425A08"/>
    <w:pPr>
      <w:tabs>
        <w:tab w:val="center" w:pos="4677"/>
        <w:tab w:val="right" w:pos="9355"/>
      </w:tabs>
      <w:spacing w:after="0" w:line="240" w:lineRule="auto"/>
    </w:pPr>
    <w:rPr>
      <w:lang w:val="ru-RU" w:eastAsia="ko-KR"/>
    </w:rPr>
  </w:style>
  <w:style w:type="character" w:customStyle="1" w:styleId="ac">
    <w:name w:val="Верхний колонтитул Знак"/>
    <w:basedOn w:val="a0"/>
    <w:link w:val="ab"/>
    <w:uiPriority w:val="99"/>
    <w:rsid w:val="00425A08"/>
    <w:rPr>
      <w:rFonts w:eastAsiaTheme="minorEastAsia"/>
      <w:lang w:val="ru-RU" w:eastAsia="ko-KR"/>
    </w:rPr>
  </w:style>
  <w:style w:type="paragraph" w:styleId="ad">
    <w:name w:val="footer"/>
    <w:basedOn w:val="a"/>
    <w:link w:val="ae"/>
    <w:uiPriority w:val="99"/>
    <w:unhideWhenUsed/>
    <w:rsid w:val="00425A08"/>
    <w:pPr>
      <w:tabs>
        <w:tab w:val="center" w:pos="4677"/>
        <w:tab w:val="right" w:pos="9355"/>
      </w:tabs>
      <w:spacing w:after="0" w:line="240" w:lineRule="auto"/>
    </w:pPr>
    <w:rPr>
      <w:lang w:val="ru-RU" w:eastAsia="ko-KR"/>
    </w:rPr>
  </w:style>
  <w:style w:type="character" w:customStyle="1" w:styleId="ae">
    <w:name w:val="Нижний колонтитул Знак"/>
    <w:basedOn w:val="a0"/>
    <w:link w:val="ad"/>
    <w:uiPriority w:val="99"/>
    <w:rsid w:val="00425A08"/>
    <w:rPr>
      <w:rFonts w:eastAsiaTheme="minorEastAsia"/>
      <w:lang w:val="ru-RU" w:eastAsia="ko-KR"/>
    </w:rPr>
  </w:style>
  <w:style w:type="paragraph" w:customStyle="1" w:styleId="Default">
    <w:name w:val="Default"/>
    <w:rsid w:val="00425A08"/>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customStyle="1" w:styleId="zfr3q">
    <w:name w:val="zfr3q"/>
    <w:basedOn w:val="a"/>
    <w:rsid w:val="00425A0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9dxtc">
    <w:name w:val="c9dxtc"/>
    <w:basedOn w:val="a0"/>
    <w:rsid w:val="00425A08"/>
  </w:style>
  <w:style w:type="paragraph" w:customStyle="1" w:styleId="cdt4ke">
    <w:name w:val="cdt4ke"/>
    <w:basedOn w:val="a"/>
    <w:rsid w:val="00425A08"/>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identifier">
    <w:name w:val="identifier"/>
    <w:basedOn w:val="a0"/>
    <w:rsid w:val="00052B4E"/>
  </w:style>
  <w:style w:type="character" w:customStyle="1" w:styleId="id-label">
    <w:name w:val="id-label"/>
    <w:basedOn w:val="a0"/>
    <w:rsid w:val="00052B4E"/>
  </w:style>
  <w:style w:type="character" w:styleId="af">
    <w:name w:val="Placeholder Text"/>
    <w:basedOn w:val="a0"/>
    <w:uiPriority w:val="99"/>
    <w:semiHidden/>
    <w:rsid w:val="004C2207"/>
    <w:rPr>
      <w:color w:val="808080"/>
    </w:rPr>
  </w:style>
  <w:style w:type="character" w:customStyle="1" w:styleId="20">
    <w:name w:val="Заголовок 2 Знак"/>
    <w:basedOn w:val="a0"/>
    <w:link w:val="2"/>
    <w:uiPriority w:val="9"/>
    <w:semiHidden/>
    <w:rsid w:val="001A5C78"/>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5273">
      <w:bodyDiv w:val="1"/>
      <w:marLeft w:val="0"/>
      <w:marRight w:val="0"/>
      <w:marTop w:val="0"/>
      <w:marBottom w:val="0"/>
      <w:divBdr>
        <w:top w:val="none" w:sz="0" w:space="0" w:color="auto"/>
        <w:left w:val="none" w:sz="0" w:space="0" w:color="auto"/>
        <w:bottom w:val="none" w:sz="0" w:space="0" w:color="auto"/>
        <w:right w:val="none" w:sz="0" w:space="0" w:color="auto"/>
      </w:divBdr>
    </w:div>
    <w:div w:id="104620635">
      <w:bodyDiv w:val="1"/>
      <w:marLeft w:val="0"/>
      <w:marRight w:val="0"/>
      <w:marTop w:val="0"/>
      <w:marBottom w:val="0"/>
      <w:divBdr>
        <w:top w:val="none" w:sz="0" w:space="0" w:color="auto"/>
        <w:left w:val="none" w:sz="0" w:space="0" w:color="auto"/>
        <w:bottom w:val="none" w:sz="0" w:space="0" w:color="auto"/>
        <w:right w:val="none" w:sz="0" w:space="0" w:color="auto"/>
      </w:divBdr>
      <w:divsChild>
        <w:div w:id="1093360530">
          <w:marLeft w:val="0"/>
          <w:marRight w:val="0"/>
          <w:marTop w:val="0"/>
          <w:marBottom w:val="0"/>
          <w:divBdr>
            <w:top w:val="none" w:sz="0" w:space="0" w:color="auto"/>
            <w:left w:val="none" w:sz="0" w:space="0" w:color="auto"/>
            <w:bottom w:val="none" w:sz="0" w:space="0" w:color="auto"/>
            <w:right w:val="none" w:sz="0" w:space="0" w:color="auto"/>
          </w:divBdr>
          <w:divsChild>
            <w:div w:id="181551003">
              <w:marLeft w:val="0"/>
              <w:marRight w:val="0"/>
              <w:marTop w:val="0"/>
              <w:marBottom w:val="0"/>
              <w:divBdr>
                <w:top w:val="none" w:sz="0" w:space="0" w:color="auto"/>
                <w:left w:val="none" w:sz="0" w:space="0" w:color="auto"/>
                <w:bottom w:val="none" w:sz="0" w:space="0" w:color="auto"/>
                <w:right w:val="none" w:sz="0" w:space="0" w:color="auto"/>
              </w:divBdr>
            </w:div>
          </w:divsChild>
        </w:div>
        <w:div w:id="1532919200">
          <w:marLeft w:val="0"/>
          <w:marRight w:val="0"/>
          <w:marTop w:val="0"/>
          <w:marBottom w:val="0"/>
          <w:divBdr>
            <w:top w:val="none" w:sz="0" w:space="0" w:color="auto"/>
            <w:left w:val="none" w:sz="0" w:space="0" w:color="auto"/>
            <w:bottom w:val="none" w:sz="0" w:space="0" w:color="auto"/>
            <w:right w:val="none" w:sz="0" w:space="0" w:color="auto"/>
          </w:divBdr>
          <w:divsChild>
            <w:div w:id="270817024">
              <w:marLeft w:val="0"/>
              <w:marRight w:val="0"/>
              <w:marTop w:val="0"/>
              <w:marBottom w:val="0"/>
              <w:divBdr>
                <w:top w:val="none" w:sz="0" w:space="0" w:color="auto"/>
                <w:left w:val="none" w:sz="0" w:space="0" w:color="auto"/>
                <w:bottom w:val="none" w:sz="0" w:space="0" w:color="auto"/>
                <w:right w:val="none" w:sz="0" w:space="0" w:color="auto"/>
              </w:divBdr>
              <w:divsChild>
                <w:div w:id="1685748244">
                  <w:marLeft w:val="0"/>
                  <w:marRight w:val="0"/>
                  <w:marTop w:val="0"/>
                  <w:marBottom w:val="0"/>
                  <w:divBdr>
                    <w:top w:val="none" w:sz="0" w:space="0" w:color="auto"/>
                    <w:left w:val="none" w:sz="0" w:space="0" w:color="auto"/>
                    <w:bottom w:val="none" w:sz="0" w:space="0" w:color="auto"/>
                    <w:right w:val="none" w:sz="0" w:space="0" w:color="auto"/>
                  </w:divBdr>
                  <w:divsChild>
                    <w:div w:id="1127353207">
                      <w:marLeft w:val="0"/>
                      <w:marRight w:val="0"/>
                      <w:marTop w:val="0"/>
                      <w:marBottom w:val="0"/>
                      <w:divBdr>
                        <w:top w:val="none" w:sz="0" w:space="0" w:color="auto"/>
                        <w:left w:val="none" w:sz="0" w:space="0" w:color="auto"/>
                        <w:bottom w:val="none" w:sz="0" w:space="0" w:color="auto"/>
                        <w:right w:val="none" w:sz="0" w:space="0" w:color="auto"/>
                      </w:divBdr>
                    </w:div>
                    <w:div w:id="186027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6463883">
              <w:marLeft w:val="0"/>
              <w:marRight w:val="0"/>
              <w:marTop w:val="0"/>
              <w:marBottom w:val="0"/>
              <w:divBdr>
                <w:top w:val="none" w:sz="0" w:space="0" w:color="auto"/>
                <w:left w:val="none" w:sz="0" w:space="0" w:color="auto"/>
                <w:bottom w:val="none" w:sz="0" w:space="0" w:color="auto"/>
                <w:right w:val="none" w:sz="0" w:space="0" w:color="auto"/>
              </w:divBdr>
              <w:divsChild>
                <w:div w:id="240260921">
                  <w:marLeft w:val="0"/>
                  <w:marRight w:val="0"/>
                  <w:marTop w:val="0"/>
                  <w:marBottom w:val="0"/>
                  <w:divBdr>
                    <w:top w:val="none" w:sz="0" w:space="0" w:color="auto"/>
                    <w:left w:val="none" w:sz="0" w:space="0" w:color="auto"/>
                    <w:bottom w:val="none" w:sz="0" w:space="0" w:color="auto"/>
                    <w:right w:val="none" w:sz="0" w:space="0" w:color="auto"/>
                  </w:divBdr>
                </w:div>
                <w:div w:id="795022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20684">
      <w:bodyDiv w:val="1"/>
      <w:marLeft w:val="0"/>
      <w:marRight w:val="0"/>
      <w:marTop w:val="0"/>
      <w:marBottom w:val="0"/>
      <w:divBdr>
        <w:top w:val="none" w:sz="0" w:space="0" w:color="auto"/>
        <w:left w:val="none" w:sz="0" w:space="0" w:color="auto"/>
        <w:bottom w:val="none" w:sz="0" w:space="0" w:color="auto"/>
        <w:right w:val="none" w:sz="0" w:space="0" w:color="auto"/>
      </w:divBdr>
      <w:divsChild>
        <w:div w:id="184448632">
          <w:marLeft w:val="0"/>
          <w:marRight w:val="0"/>
          <w:marTop w:val="400"/>
          <w:marBottom w:val="400"/>
          <w:divBdr>
            <w:top w:val="none" w:sz="0" w:space="0" w:color="auto"/>
            <w:left w:val="none" w:sz="0" w:space="0" w:color="auto"/>
            <w:bottom w:val="none" w:sz="0" w:space="0" w:color="auto"/>
            <w:right w:val="none" w:sz="0" w:space="0" w:color="auto"/>
          </w:divBdr>
        </w:div>
        <w:div w:id="1499155975">
          <w:marLeft w:val="0"/>
          <w:marRight w:val="0"/>
          <w:marTop w:val="400"/>
          <w:marBottom w:val="400"/>
          <w:divBdr>
            <w:top w:val="none" w:sz="0" w:space="0" w:color="auto"/>
            <w:left w:val="none" w:sz="0" w:space="0" w:color="auto"/>
            <w:bottom w:val="none" w:sz="0" w:space="0" w:color="auto"/>
            <w:right w:val="none" w:sz="0" w:space="0" w:color="auto"/>
          </w:divBdr>
        </w:div>
      </w:divsChild>
    </w:div>
    <w:div w:id="233707755">
      <w:bodyDiv w:val="1"/>
      <w:marLeft w:val="0"/>
      <w:marRight w:val="0"/>
      <w:marTop w:val="0"/>
      <w:marBottom w:val="0"/>
      <w:divBdr>
        <w:top w:val="none" w:sz="0" w:space="0" w:color="auto"/>
        <w:left w:val="none" w:sz="0" w:space="0" w:color="auto"/>
        <w:bottom w:val="none" w:sz="0" w:space="0" w:color="auto"/>
        <w:right w:val="none" w:sz="0" w:space="0" w:color="auto"/>
      </w:divBdr>
    </w:div>
    <w:div w:id="425275761">
      <w:bodyDiv w:val="1"/>
      <w:marLeft w:val="0"/>
      <w:marRight w:val="0"/>
      <w:marTop w:val="0"/>
      <w:marBottom w:val="0"/>
      <w:divBdr>
        <w:top w:val="none" w:sz="0" w:space="0" w:color="auto"/>
        <w:left w:val="none" w:sz="0" w:space="0" w:color="auto"/>
        <w:bottom w:val="none" w:sz="0" w:space="0" w:color="auto"/>
        <w:right w:val="none" w:sz="0" w:space="0" w:color="auto"/>
      </w:divBdr>
      <w:divsChild>
        <w:div w:id="313336862">
          <w:marLeft w:val="0"/>
          <w:marRight w:val="0"/>
          <w:marTop w:val="0"/>
          <w:marBottom w:val="120"/>
          <w:divBdr>
            <w:top w:val="none" w:sz="0" w:space="0" w:color="auto"/>
            <w:left w:val="none" w:sz="0" w:space="0" w:color="auto"/>
            <w:bottom w:val="none" w:sz="0" w:space="0" w:color="auto"/>
            <w:right w:val="none" w:sz="0" w:space="0" w:color="auto"/>
          </w:divBdr>
          <w:divsChild>
            <w:div w:id="127405951">
              <w:marLeft w:val="0"/>
              <w:marRight w:val="0"/>
              <w:marTop w:val="0"/>
              <w:marBottom w:val="0"/>
              <w:divBdr>
                <w:top w:val="none" w:sz="0" w:space="0" w:color="auto"/>
                <w:left w:val="none" w:sz="0" w:space="0" w:color="auto"/>
                <w:bottom w:val="none" w:sz="0" w:space="0" w:color="auto"/>
                <w:right w:val="none" w:sz="0" w:space="0" w:color="auto"/>
              </w:divBdr>
              <w:divsChild>
                <w:div w:id="639117412">
                  <w:marLeft w:val="0"/>
                  <w:marRight w:val="0"/>
                  <w:marTop w:val="0"/>
                  <w:marBottom w:val="0"/>
                  <w:divBdr>
                    <w:top w:val="none" w:sz="0" w:space="0" w:color="auto"/>
                    <w:left w:val="none" w:sz="0" w:space="0" w:color="auto"/>
                    <w:bottom w:val="none" w:sz="0" w:space="0" w:color="auto"/>
                    <w:right w:val="none" w:sz="0" w:space="0" w:color="auto"/>
                  </w:divBdr>
                  <w:divsChild>
                    <w:div w:id="162025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3574236">
      <w:bodyDiv w:val="1"/>
      <w:marLeft w:val="0"/>
      <w:marRight w:val="0"/>
      <w:marTop w:val="0"/>
      <w:marBottom w:val="0"/>
      <w:divBdr>
        <w:top w:val="none" w:sz="0" w:space="0" w:color="auto"/>
        <w:left w:val="none" w:sz="0" w:space="0" w:color="auto"/>
        <w:bottom w:val="none" w:sz="0" w:space="0" w:color="auto"/>
        <w:right w:val="none" w:sz="0" w:space="0" w:color="auto"/>
      </w:divBdr>
    </w:div>
    <w:div w:id="492331797">
      <w:bodyDiv w:val="1"/>
      <w:marLeft w:val="0"/>
      <w:marRight w:val="0"/>
      <w:marTop w:val="0"/>
      <w:marBottom w:val="0"/>
      <w:divBdr>
        <w:top w:val="none" w:sz="0" w:space="0" w:color="auto"/>
        <w:left w:val="none" w:sz="0" w:space="0" w:color="auto"/>
        <w:bottom w:val="none" w:sz="0" w:space="0" w:color="auto"/>
        <w:right w:val="none" w:sz="0" w:space="0" w:color="auto"/>
      </w:divBdr>
    </w:div>
    <w:div w:id="609044208">
      <w:bodyDiv w:val="1"/>
      <w:marLeft w:val="0"/>
      <w:marRight w:val="0"/>
      <w:marTop w:val="0"/>
      <w:marBottom w:val="0"/>
      <w:divBdr>
        <w:top w:val="none" w:sz="0" w:space="0" w:color="auto"/>
        <w:left w:val="none" w:sz="0" w:space="0" w:color="auto"/>
        <w:bottom w:val="none" w:sz="0" w:space="0" w:color="auto"/>
        <w:right w:val="none" w:sz="0" w:space="0" w:color="auto"/>
      </w:divBdr>
    </w:div>
    <w:div w:id="813370536">
      <w:bodyDiv w:val="1"/>
      <w:marLeft w:val="0"/>
      <w:marRight w:val="0"/>
      <w:marTop w:val="0"/>
      <w:marBottom w:val="0"/>
      <w:divBdr>
        <w:top w:val="none" w:sz="0" w:space="0" w:color="auto"/>
        <w:left w:val="none" w:sz="0" w:space="0" w:color="auto"/>
        <w:bottom w:val="none" w:sz="0" w:space="0" w:color="auto"/>
        <w:right w:val="none" w:sz="0" w:space="0" w:color="auto"/>
      </w:divBdr>
    </w:div>
    <w:div w:id="885877578">
      <w:bodyDiv w:val="1"/>
      <w:marLeft w:val="0"/>
      <w:marRight w:val="0"/>
      <w:marTop w:val="0"/>
      <w:marBottom w:val="0"/>
      <w:divBdr>
        <w:top w:val="none" w:sz="0" w:space="0" w:color="auto"/>
        <w:left w:val="none" w:sz="0" w:space="0" w:color="auto"/>
        <w:bottom w:val="none" w:sz="0" w:space="0" w:color="auto"/>
        <w:right w:val="none" w:sz="0" w:space="0" w:color="auto"/>
      </w:divBdr>
      <w:divsChild>
        <w:div w:id="1584533995">
          <w:marLeft w:val="0"/>
          <w:marRight w:val="0"/>
          <w:marTop w:val="0"/>
          <w:marBottom w:val="0"/>
          <w:divBdr>
            <w:top w:val="none" w:sz="0" w:space="0" w:color="auto"/>
            <w:left w:val="none" w:sz="0" w:space="0" w:color="auto"/>
            <w:bottom w:val="none" w:sz="0" w:space="0" w:color="auto"/>
            <w:right w:val="none" w:sz="0" w:space="0" w:color="auto"/>
          </w:divBdr>
        </w:div>
        <w:div w:id="1727530946">
          <w:marLeft w:val="0"/>
          <w:marRight w:val="0"/>
          <w:marTop w:val="0"/>
          <w:marBottom w:val="0"/>
          <w:divBdr>
            <w:top w:val="none" w:sz="0" w:space="0" w:color="auto"/>
            <w:left w:val="none" w:sz="0" w:space="0" w:color="auto"/>
            <w:bottom w:val="none" w:sz="0" w:space="0" w:color="auto"/>
            <w:right w:val="none" w:sz="0" w:space="0" w:color="auto"/>
          </w:divBdr>
          <w:divsChild>
            <w:div w:id="173631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701935">
      <w:bodyDiv w:val="1"/>
      <w:marLeft w:val="0"/>
      <w:marRight w:val="0"/>
      <w:marTop w:val="0"/>
      <w:marBottom w:val="0"/>
      <w:divBdr>
        <w:top w:val="none" w:sz="0" w:space="0" w:color="auto"/>
        <w:left w:val="none" w:sz="0" w:space="0" w:color="auto"/>
        <w:bottom w:val="none" w:sz="0" w:space="0" w:color="auto"/>
        <w:right w:val="none" w:sz="0" w:space="0" w:color="auto"/>
      </w:divBdr>
    </w:div>
    <w:div w:id="1008213933">
      <w:bodyDiv w:val="1"/>
      <w:marLeft w:val="0"/>
      <w:marRight w:val="0"/>
      <w:marTop w:val="0"/>
      <w:marBottom w:val="0"/>
      <w:divBdr>
        <w:top w:val="none" w:sz="0" w:space="0" w:color="auto"/>
        <w:left w:val="none" w:sz="0" w:space="0" w:color="auto"/>
        <w:bottom w:val="none" w:sz="0" w:space="0" w:color="auto"/>
        <w:right w:val="none" w:sz="0" w:space="0" w:color="auto"/>
      </w:divBdr>
    </w:div>
    <w:div w:id="1013605547">
      <w:bodyDiv w:val="1"/>
      <w:marLeft w:val="0"/>
      <w:marRight w:val="0"/>
      <w:marTop w:val="0"/>
      <w:marBottom w:val="0"/>
      <w:divBdr>
        <w:top w:val="none" w:sz="0" w:space="0" w:color="auto"/>
        <w:left w:val="none" w:sz="0" w:space="0" w:color="auto"/>
        <w:bottom w:val="none" w:sz="0" w:space="0" w:color="auto"/>
        <w:right w:val="none" w:sz="0" w:space="0" w:color="auto"/>
      </w:divBdr>
      <w:divsChild>
        <w:div w:id="1888642477">
          <w:marLeft w:val="0"/>
          <w:marRight w:val="0"/>
          <w:marTop w:val="0"/>
          <w:marBottom w:val="0"/>
          <w:divBdr>
            <w:top w:val="none" w:sz="0" w:space="0" w:color="auto"/>
            <w:left w:val="none" w:sz="0" w:space="0" w:color="auto"/>
            <w:bottom w:val="none" w:sz="0" w:space="0" w:color="auto"/>
            <w:right w:val="none" w:sz="0" w:space="0" w:color="auto"/>
          </w:divBdr>
          <w:divsChild>
            <w:div w:id="1969163358">
              <w:marLeft w:val="0"/>
              <w:marRight w:val="0"/>
              <w:marTop w:val="0"/>
              <w:marBottom w:val="0"/>
              <w:divBdr>
                <w:top w:val="none" w:sz="0" w:space="0" w:color="auto"/>
                <w:left w:val="none" w:sz="0" w:space="0" w:color="auto"/>
                <w:bottom w:val="none" w:sz="0" w:space="0" w:color="auto"/>
                <w:right w:val="none" w:sz="0" w:space="0" w:color="auto"/>
              </w:divBdr>
              <w:divsChild>
                <w:div w:id="664937678">
                  <w:marLeft w:val="0"/>
                  <w:marRight w:val="0"/>
                  <w:marTop w:val="0"/>
                  <w:marBottom w:val="0"/>
                  <w:divBdr>
                    <w:top w:val="none" w:sz="0" w:space="0" w:color="auto"/>
                    <w:left w:val="none" w:sz="0" w:space="0" w:color="auto"/>
                    <w:bottom w:val="none" w:sz="0" w:space="0" w:color="auto"/>
                    <w:right w:val="none" w:sz="0" w:space="0" w:color="auto"/>
                  </w:divBdr>
                  <w:divsChild>
                    <w:div w:id="747506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5114458">
      <w:bodyDiv w:val="1"/>
      <w:marLeft w:val="0"/>
      <w:marRight w:val="0"/>
      <w:marTop w:val="0"/>
      <w:marBottom w:val="0"/>
      <w:divBdr>
        <w:top w:val="none" w:sz="0" w:space="0" w:color="auto"/>
        <w:left w:val="none" w:sz="0" w:space="0" w:color="auto"/>
        <w:bottom w:val="none" w:sz="0" w:space="0" w:color="auto"/>
        <w:right w:val="none" w:sz="0" w:space="0" w:color="auto"/>
      </w:divBdr>
      <w:divsChild>
        <w:div w:id="775293864">
          <w:marLeft w:val="0"/>
          <w:marRight w:val="0"/>
          <w:marTop w:val="0"/>
          <w:marBottom w:val="0"/>
          <w:divBdr>
            <w:top w:val="none" w:sz="0" w:space="0" w:color="auto"/>
            <w:left w:val="none" w:sz="0" w:space="0" w:color="auto"/>
            <w:bottom w:val="none" w:sz="0" w:space="0" w:color="auto"/>
            <w:right w:val="none" w:sz="0" w:space="0" w:color="auto"/>
          </w:divBdr>
          <w:divsChild>
            <w:div w:id="1721439204">
              <w:marLeft w:val="0"/>
              <w:marRight w:val="0"/>
              <w:marTop w:val="0"/>
              <w:marBottom w:val="0"/>
              <w:divBdr>
                <w:top w:val="none" w:sz="0" w:space="0" w:color="auto"/>
                <w:left w:val="none" w:sz="0" w:space="0" w:color="auto"/>
                <w:bottom w:val="none" w:sz="0" w:space="0" w:color="auto"/>
                <w:right w:val="none" w:sz="0" w:space="0" w:color="auto"/>
              </w:divBdr>
              <w:divsChild>
                <w:div w:id="1269695591">
                  <w:marLeft w:val="0"/>
                  <w:marRight w:val="0"/>
                  <w:marTop w:val="0"/>
                  <w:marBottom w:val="0"/>
                  <w:divBdr>
                    <w:top w:val="none" w:sz="0" w:space="0" w:color="auto"/>
                    <w:left w:val="none" w:sz="0" w:space="0" w:color="auto"/>
                    <w:bottom w:val="none" w:sz="0" w:space="0" w:color="auto"/>
                    <w:right w:val="none" w:sz="0" w:space="0" w:color="auto"/>
                  </w:divBdr>
                  <w:divsChild>
                    <w:div w:id="140076681">
                      <w:marLeft w:val="0"/>
                      <w:marRight w:val="0"/>
                      <w:marTop w:val="0"/>
                      <w:marBottom w:val="0"/>
                      <w:divBdr>
                        <w:top w:val="none" w:sz="0" w:space="0" w:color="auto"/>
                        <w:left w:val="none" w:sz="0" w:space="0" w:color="auto"/>
                        <w:bottom w:val="none" w:sz="0" w:space="0" w:color="auto"/>
                        <w:right w:val="none" w:sz="0" w:space="0" w:color="auto"/>
                      </w:divBdr>
                      <w:divsChild>
                        <w:div w:id="900944161">
                          <w:marLeft w:val="0"/>
                          <w:marRight w:val="0"/>
                          <w:marTop w:val="0"/>
                          <w:marBottom w:val="0"/>
                          <w:divBdr>
                            <w:top w:val="none" w:sz="0" w:space="0" w:color="auto"/>
                            <w:left w:val="none" w:sz="0" w:space="0" w:color="auto"/>
                            <w:bottom w:val="none" w:sz="0" w:space="0" w:color="auto"/>
                            <w:right w:val="none" w:sz="0" w:space="0" w:color="auto"/>
                          </w:divBdr>
                          <w:divsChild>
                            <w:div w:id="82693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27757935">
      <w:bodyDiv w:val="1"/>
      <w:marLeft w:val="0"/>
      <w:marRight w:val="0"/>
      <w:marTop w:val="0"/>
      <w:marBottom w:val="0"/>
      <w:divBdr>
        <w:top w:val="none" w:sz="0" w:space="0" w:color="auto"/>
        <w:left w:val="none" w:sz="0" w:space="0" w:color="auto"/>
        <w:bottom w:val="none" w:sz="0" w:space="0" w:color="auto"/>
        <w:right w:val="none" w:sz="0" w:space="0" w:color="auto"/>
      </w:divBdr>
    </w:div>
    <w:div w:id="1037974554">
      <w:bodyDiv w:val="1"/>
      <w:marLeft w:val="0"/>
      <w:marRight w:val="0"/>
      <w:marTop w:val="0"/>
      <w:marBottom w:val="0"/>
      <w:divBdr>
        <w:top w:val="none" w:sz="0" w:space="0" w:color="auto"/>
        <w:left w:val="none" w:sz="0" w:space="0" w:color="auto"/>
        <w:bottom w:val="none" w:sz="0" w:space="0" w:color="auto"/>
        <w:right w:val="none" w:sz="0" w:space="0" w:color="auto"/>
      </w:divBdr>
    </w:div>
    <w:div w:id="1087506486">
      <w:bodyDiv w:val="1"/>
      <w:marLeft w:val="0"/>
      <w:marRight w:val="0"/>
      <w:marTop w:val="0"/>
      <w:marBottom w:val="0"/>
      <w:divBdr>
        <w:top w:val="none" w:sz="0" w:space="0" w:color="auto"/>
        <w:left w:val="none" w:sz="0" w:space="0" w:color="auto"/>
        <w:bottom w:val="none" w:sz="0" w:space="0" w:color="auto"/>
        <w:right w:val="none" w:sz="0" w:space="0" w:color="auto"/>
      </w:divBdr>
      <w:divsChild>
        <w:div w:id="361247423">
          <w:marLeft w:val="0"/>
          <w:marRight w:val="0"/>
          <w:marTop w:val="0"/>
          <w:marBottom w:val="0"/>
          <w:divBdr>
            <w:top w:val="none" w:sz="0" w:space="0" w:color="auto"/>
            <w:left w:val="none" w:sz="0" w:space="0" w:color="auto"/>
            <w:bottom w:val="none" w:sz="0" w:space="0" w:color="auto"/>
            <w:right w:val="none" w:sz="0" w:space="0" w:color="auto"/>
          </w:divBdr>
          <w:divsChild>
            <w:div w:id="323974760">
              <w:marLeft w:val="0"/>
              <w:marRight w:val="0"/>
              <w:marTop w:val="0"/>
              <w:marBottom w:val="0"/>
              <w:divBdr>
                <w:top w:val="none" w:sz="0" w:space="0" w:color="auto"/>
                <w:left w:val="none" w:sz="0" w:space="0" w:color="auto"/>
                <w:bottom w:val="none" w:sz="0" w:space="0" w:color="auto"/>
                <w:right w:val="none" w:sz="0" w:space="0" w:color="auto"/>
              </w:divBdr>
              <w:divsChild>
                <w:div w:id="1651863397">
                  <w:marLeft w:val="0"/>
                  <w:marRight w:val="0"/>
                  <w:marTop w:val="0"/>
                  <w:marBottom w:val="0"/>
                  <w:divBdr>
                    <w:top w:val="none" w:sz="0" w:space="0" w:color="auto"/>
                    <w:left w:val="none" w:sz="0" w:space="0" w:color="auto"/>
                    <w:bottom w:val="none" w:sz="0" w:space="0" w:color="auto"/>
                    <w:right w:val="none" w:sz="0" w:space="0" w:color="auto"/>
                  </w:divBdr>
                  <w:divsChild>
                    <w:div w:id="105269622">
                      <w:marLeft w:val="0"/>
                      <w:marRight w:val="0"/>
                      <w:marTop w:val="0"/>
                      <w:marBottom w:val="0"/>
                      <w:divBdr>
                        <w:top w:val="none" w:sz="0" w:space="0" w:color="auto"/>
                        <w:left w:val="none" w:sz="0" w:space="0" w:color="auto"/>
                        <w:bottom w:val="none" w:sz="0" w:space="0" w:color="auto"/>
                        <w:right w:val="none" w:sz="0" w:space="0" w:color="auto"/>
                      </w:divBdr>
                      <w:divsChild>
                        <w:div w:id="1954706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0655858">
          <w:marLeft w:val="0"/>
          <w:marRight w:val="0"/>
          <w:marTop w:val="0"/>
          <w:marBottom w:val="0"/>
          <w:divBdr>
            <w:top w:val="none" w:sz="0" w:space="0" w:color="auto"/>
            <w:left w:val="none" w:sz="0" w:space="0" w:color="auto"/>
            <w:bottom w:val="none" w:sz="0" w:space="0" w:color="auto"/>
            <w:right w:val="none" w:sz="0" w:space="0" w:color="auto"/>
          </w:divBdr>
          <w:divsChild>
            <w:div w:id="1581988880">
              <w:marLeft w:val="0"/>
              <w:marRight w:val="0"/>
              <w:marTop w:val="0"/>
              <w:marBottom w:val="0"/>
              <w:divBdr>
                <w:top w:val="none" w:sz="0" w:space="0" w:color="auto"/>
                <w:left w:val="none" w:sz="0" w:space="0" w:color="auto"/>
                <w:bottom w:val="none" w:sz="0" w:space="0" w:color="auto"/>
                <w:right w:val="none" w:sz="0" w:space="0" w:color="auto"/>
              </w:divBdr>
              <w:divsChild>
                <w:div w:id="1812863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9526906">
      <w:bodyDiv w:val="1"/>
      <w:marLeft w:val="0"/>
      <w:marRight w:val="0"/>
      <w:marTop w:val="0"/>
      <w:marBottom w:val="0"/>
      <w:divBdr>
        <w:top w:val="none" w:sz="0" w:space="0" w:color="auto"/>
        <w:left w:val="none" w:sz="0" w:space="0" w:color="auto"/>
        <w:bottom w:val="none" w:sz="0" w:space="0" w:color="auto"/>
        <w:right w:val="none" w:sz="0" w:space="0" w:color="auto"/>
      </w:divBdr>
      <w:divsChild>
        <w:div w:id="974021807">
          <w:marLeft w:val="0"/>
          <w:marRight w:val="0"/>
          <w:marTop w:val="0"/>
          <w:marBottom w:val="0"/>
          <w:divBdr>
            <w:top w:val="none" w:sz="0" w:space="0" w:color="auto"/>
            <w:left w:val="none" w:sz="0" w:space="0" w:color="auto"/>
            <w:bottom w:val="none" w:sz="0" w:space="0" w:color="auto"/>
            <w:right w:val="none" w:sz="0" w:space="0" w:color="auto"/>
          </w:divBdr>
          <w:divsChild>
            <w:div w:id="1997608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438796">
      <w:bodyDiv w:val="1"/>
      <w:marLeft w:val="0"/>
      <w:marRight w:val="0"/>
      <w:marTop w:val="0"/>
      <w:marBottom w:val="0"/>
      <w:divBdr>
        <w:top w:val="none" w:sz="0" w:space="0" w:color="auto"/>
        <w:left w:val="none" w:sz="0" w:space="0" w:color="auto"/>
        <w:bottom w:val="none" w:sz="0" w:space="0" w:color="auto"/>
        <w:right w:val="none" w:sz="0" w:space="0" w:color="auto"/>
      </w:divBdr>
      <w:divsChild>
        <w:div w:id="841548925">
          <w:marLeft w:val="0"/>
          <w:marRight w:val="0"/>
          <w:marTop w:val="0"/>
          <w:marBottom w:val="0"/>
          <w:divBdr>
            <w:top w:val="none" w:sz="0" w:space="0" w:color="auto"/>
            <w:left w:val="none" w:sz="0" w:space="0" w:color="auto"/>
            <w:bottom w:val="none" w:sz="0" w:space="0" w:color="auto"/>
            <w:right w:val="none" w:sz="0" w:space="0" w:color="auto"/>
          </w:divBdr>
          <w:divsChild>
            <w:div w:id="1715735330">
              <w:marLeft w:val="0"/>
              <w:marRight w:val="0"/>
              <w:marTop w:val="0"/>
              <w:marBottom w:val="0"/>
              <w:divBdr>
                <w:top w:val="none" w:sz="0" w:space="0" w:color="auto"/>
                <w:left w:val="none" w:sz="0" w:space="0" w:color="auto"/>
                <w:bottom w:val="none" w:sz="0" w:space="0" w:color="auto"/>
                <w:right w:val="none" w:sz="0" w:space="0" w:color="auto"/>
              </w:divBdr>
              <w:divsChild>
                <w:div w:id="52508602">
                  <w:marLeft w:val="0"/>
                  <w:marRight w:val="0"/>
                  <w:marTop w:val="0"/>
                  <w:marBottom w:val="0"/>
                  <w:divBdr>
                    <w:top w:val="none" w:sz="0" w:space="0" w:color="auto"/>
                    <w:left w:val="none" w:sz="0" w:space="0" w:color="auto"/>
                    <w:bottom w:val="none" w:sz="0" w:space="0" w:color="auto"/>
                    <w:right w:val="none" w:sz="0" w:space="0" w:color="auto"/>
                  </w:divBdr>
                  <w:divsChild>
                    <w:div w:id="19041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2614964">
      <w:bodyDiv w:val="1"/>
      <w:marLeft w:val="0"/>
      <w:marRight w:val="0"/>
      <w:marTop w:val="0"/>
      <w:marBottom w:val="0"/>
      <w:divBdr>
        <w:top w:val="none" w:sz="0" w:space="0" w:color="auto"/>
        <w:left w:val="none" w:sz="0" w:space="0" w:color="auto"/>
        <w:bottom w:val="none" w:sz="0" w:space="0" w:color="auto"/>
        <w:right w:val="none" w:sz="0" w:space="0" w:color="auto"/>
      </w:divBdr>
      <w:divsChild>
        <w:div w:id="906501225">
          <w:marLeft w:val="0"/>
          <w:marRight w:val="0"/>
          <w:marTop w:val="400"/>
          <w:marBottom w:val="400"/>
          <w:divBdr>
            <w:top w:val="none" w:sz="0" w:space="0" w:color="auto"/>
            <w:left w:val="none" w:sz="0" w:space="0" w:color="auto"/>
            <w:bottom w:val="none" w:sz="0" w:space="0" w:color="auto"/>
            <w:right w:val="none" w:sz="0" w:space="0" w:color="auto"/>
          </w:divBdr>
        </w:div>
        <w:div w:id="1714647277">
          <w:marLeft w:val="0"/>
          <w:marRight w:val="0"/>
          <w:marTop w:val="400"/>
          <w:marBottom w:val="400"/>
          <w:divBdr>
            <w:top w:val="none" w:sz="0" w:space="0" w:color="auto"/>
            <w:left w:val="none" w:sz="0" w:space="0" w:color="auto"/>
            <w:bottom w:val="none" w:sz="0" w:space="0" w:color="auto"/>
            <w:right w:val="none" w:sz="0" w:space="0" w:color="auto"/>
          </w:divBdr>
        </w:div>
      </w:divsChild>
    </w:div>
    <w:div w:id="1382633305">
      <w:bodyDiv w:val="1"/>
      <w:marLeft w:val="0"/>
      <w:marRight w:val="0"/>
      <w:marTop w:val="0"/>
      <w:marBottom w:val="0"/>
      <w:divBdr>
        <w:top w:val="none" w:sz="0" w:space="0" w:color="auto"/>
        <w:left w:val="none" w:sz="0" w:space="0" w:color="auto"/>
        <w:bottom w:val="none" w:sz="0" w:space="0" w:color="auto"/>
        <w:right w:val="none" w:sz="0" w:space="0" w:color="auto"/>
      </w:divBdr>
    </w:div>
    <w:div w:id="1385638007">
      <w:bodyDiv w:val="1"/>
      <w:marLeft w:val="0"/>
      <w:marRight w:val="0"/>
      <w:marTop w:val="0"/>
      <w:marBottom w:val="0"/>
      <w:divBdr>
        <w:top w:val="none" w:sz="0" w:space="0" w:color="auto"/>
        <w:left w:val="none" w:sz="0" w:space="0" w:color="auto"/>
        <w:bottom w:val="none" w:sz="0" w:space="0" w:color="auto"/>
        <w:right w:val="none" w:sz="0" w:space="0" w:color="auto"/>
      </w:divBdr>
      <w:divsChild>
        <w:div w:id="919369905">
          <w:marLeft w:val="0"/>
          <w:marRight w:val="0"/>
          <w:marTop w:val="0"/>
          <w:marBottom w:val="120"/>
          <w:divBdr>
            <w:top w:val="none" w:sz="0" w:space="0" w:color="auto"/>
            <w:left w:val="none" w:sz="0" w:space="0" w:color="auto"/>
            <w:bottom w:val="none" w:sz="0" w:space="0" w:color="auto"/>
            <w:right w:val="none" w:sz="0" w:space="0" w:color="auto"/>
          </w:divBdr>
          <w:divsChild>
            <w:div w:id="1835874483">
              <w:marLeft w:val="0"/>
              <w:marRight w:val="0"/>
              <w:marTop w:val="0"/>
              <w:marBottom w:val="0"/>
              <w:divBdr>
                <w:top w:val="none" w:sz="0" w:space="0" w:color="auto"/>
                <w:left w:val="none" w:sz="0" w:space="0" w:color="auto"/>
                <w:bottom w:val="none" w:sz="0" w:space="0" w:color="auto"/>
                <w:right w:val="none" w:sz="0" w:space="0" w:color="auto"/>
              </w:divBdr>
              <w:divsChild>
                <w:div w:id="330528906">
                  <w:marLeft w:val="0"/>
                  <w:marRight w:val="0"/>
                  <w:marTop w:val="0"/>
                  <w:marBottom w:val="0"/>
                  <w:divBdr>
                    <w:top w:val="none" w:sz="0" w:space="0" w:color="auto"/>
                    <w:left w:val="none" w:sz="0" w:space="0" w:color="auto"/>
                    <w:bottom w:val="none" w:sz="0" w:space="0" w:color="auto"/>
                    <w:right w:val="none" w:sz="0" w:space="0" w:color="auto"/>
                  </w:divBdr>
                  <w:divsChild>
                    <w:div w:id="117873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2362800">
      <w:bodyDiv w:val="1"/>
      <w:marLeft w:val="0"/>
      <w:marRight w:val="0"/>
      <w:marTop w:val="0"/>
      <w:marBottom w:val="0"/>
      <w:divBdr>
        <w:top w:val="none" w:sz="0" w:space="0" w:color="auto"/>
        <w:left w:val="none" w:sz="0" w:space="0" w:color="auto"/>
        <w:bottom w:val="none" w:sz="0" w:space="0" w:color="auto"/>
        <w:right w:val="none" w:sz="0" w:space="0" w:color="auto"/>
      </w:divBdr>
    </w:div>
    <w:div w:id="1449007792">
      <w:bodyDiv w:val="1"/>
      <w:marLeft w:val="0"/>
      <w:marRight w:val="0"/>
      <w:marTop w:val="0"/>
      <w:marBottom w:val="0"/>
      <w:divBdr>
        <w:top w:val="none" w:sz="0" w:space="0" w:color="auto"/>
        <w:left w:val="none" w:sz="0" w:space="0" w:color="auto"/>
        <w:bottom w:val="none" w:sz="0" w:space="0" w:color="auto"/>
        <w:right w:val="none" w:sz="0" w:space="0" w:color="auto"/>
      </w:divBdr>
    </w:div>
    <w:div w:id="1595675003">
      <w:bodyDiv w:val="1"/>
      <w:marLeft w:val="0"/>
      <w:marRight w:val="0"/>
      <w:marTop w:val="0"/>
      <w:marBottom w:val="0"/>
      <w:divBdr>
        <w:top w:val="none" w:sz="0" w:space="0" w:color="auto"/>
        <w:left w:val="none" w:sz="0" w:space="0" w:color="auto"/>
        <w:bottom w:val="none" w:sz="0" w:space="0" w:color="auto"/>
        <w:right w:val="none" w:sz="0" w:space="0" w:color="auto"/>
      </w:divBdr>
    </w:div>
    <w:div w:id="1633052118">
      <w:bodyDiv w:val="1"/>
      <w:marLeft w:val="0"/>
      <w:marRight w:val="0"/>
      <w:marTop w:val="0"/>
      <w:marBottom w:val="0"/>
      <w:divBdr>
        <w:top w:val="none" w:sz="0" w:space="0" w:color="auto"/>
        <w:left w:val="none" w:sz="0" w:space="0" w:color="auto"/>
        <w:bottom w:val="none" w:sz="0" w:space="0" w:color="auto"/>
        <w:right w:val="none" w:sz="0" w:space="0" w:color="auto"/>
      </w:divBdr>
      <w:divsChild>
        <w:div w:id="923606923">
          <w:marLeft w:val="446"/>
          <w:marRight w:val="0"/>
          <w:marTop w:val="0"/>
          <w:marBottom w:val="0"/>
          <w:divBdr>
            <w:top w:val="none" w:sz="0" w:space="0" w:color="auto"/>
            <w:left w:val="none" w:sz="0" w:space="0" w:color="auto"/>
            <w:bottom w:val="none" w:sz="0" w:space="0" w:color="auto"/>
            <w:right w:val="none" w:sz="0" w:space="0" w:color="auto"/>
          </w:divBdr>
        </w:div>
        <w:div w:id="1028993630">
          <w:marLeft w:val="446"/>
          <w:marRight w:val="0"/>
          <w:marTop w:val="0"/>
          <w:marBottom w:val="0"/>
          <w:divBdr>
            <w:top w:val="none" w:sz="0" w:space="0" w:color="auto"/>
            <w:left w:val="none" w:sz="0" w:space="0" w:color="auto"/>
            <w:bottom w:val="none" w:sz="0" w:space="0" w:color="auto"/>
            <w:right w:val="none" w:sz="0" w:space="0" w:color="auto"/>
          </w:divBdr>
        </w:div>
        <w:div w:id="1132090423">
          <w:marLeft w:val="446"/>
          <w:marRight w:val="0"/>
          <w:marTop w:val="0"/>
          <w:marBottom w:val="0"/>
          <w:divBdr>
            <w:top w:val="none" w:sz="0" w:space="0" w:color="auto"/>
            <w:left w:val="none" w:sz="0" w:space="0" w:color="auto"/>
            <w:bottom w:val="none" w:sz="0" w:space="0" w:color="auto"/>
            <w:right w:val="none" w:sz="0" w:space="0" w:color="auto"/>
          </w:divBdr>
        </w:div>
        <w:div w:id="1590844157">
          <w:marLeft w:val="446"/>
          <w:marRight w:val="0"/>
          <w:marTop w:val="0"/>
          <w:marBottom w:val="0"/>
          <w:divBdr>
            <w:top w:val="none" w:sz="0" w:space="0" w:color="auto"/>
            <w:left w:val="none" w:sz="0" w:space="0" w:color="auto"/>
            <w:bottom w:val="none" w:sz="0" w:space="0" w:color="auto"/>
            <w:right w:val="none" w:sz="0" w:space="0" w:color="auto"/>
          </w:divBdr>
        </w:div>
        <w:div w:id="1777169822">
          <w:marLeft w:val="446"/>
          <w:marRight w:val="0"/>
          <w:marTop w:val="0"/>
          <w:marBottom w:val="0"/>
          <w:divBdr>
            <w:top w:val="none" w:sz="0" w:space="0" w:color="auto"/>
            <w:left w:val="none" w:sz="0" w:space="0" w:color="auto"/>
            <w:bottom w:val="none" w:sz="0" w:space="0" w:color="auto"/>
            <w:right w:val="none" w:sz="0" w:space="0" w:color="auto"/>
          </w:divBdr>
        </w:div>
      </w:divsChild>
    </w:div>
    <w:div w:id="1675569668">
      <w:bodyDiv w:val="1"/>
      <w:marLeft w:val="0"/>
      <w:marRight w:val="0"/>
      <w:marTop w:val="0"/>
      <w:marBottom w:val="0"/>
      <w:divBdr>
        <w:top w:val="none" w:sz="0" w:space="0" w:color="auto"/>
        <w:left w:val="none" w:sz="0" w:space="0" w:color="auto"/>
        <w:bottom w:val="none" w:sz="0" w:space="0" w:color="auto"/>
        <w:right w:val="none" w:sz="0" w:space="0" w:color="auto"/>
      </w:divBdr>
      <w:divsChild>
        <w:div w:id="1231575713">
          <w:marLeft w:val="0"/>
          <w:marRight w:val="0"/>
          <w:marTop w:val="0"/>
          <w:marBottom w:val="0"/>
          <w:divBdr>
            <w:top w:val="none" w:sz="0" w:space="0" w:color="auto"/>
            <w:left w:val="none" w:sz="0" w:space="0" w:color="auto"/>
            <w:bottom w:val="none" w:sz="0" w:space="0" w:color="auto"/>
            <w:right w:val="none" w:sz="0" w:space="0" w:color="auto"/>
          </w:divBdr>
          <w:divsChild>
            <w:div w:id="1480997764">
              <w:marLeft w:val="0"/>
              <w:marRight w:val="0"/>
              <w:marTop w:val="0"/>
              <w:marBottom w:val="0"/>
              <w:divBdr>
                <w:top w:val="none" w:sz="0" w:space="0" w:color="auto"/>
                <w:left w:val="none" w:sz="0" w:space="0" w:color="auto"/>
                <w:bottom w:val="none" w:sz="0" w:space="0" w:color="auto"/>
                <w:right w:val="none" w:sz="0" w:space="0" w:color="auto"/>
              </w:divBdr>
              <w:divsChild>
                <w:div w:id="254635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085845">
      <w:bodyDiv w:val="1"/>
      <w:marLeft w:val="0"/>
      <w:marRight w:val="0"/>
      <w:marTop w:val="0"/>
      <w:marBottom w:val="0"/>
      <w:divBdr>
        <w:top w:val="none" w:sz="0" w:space="0" w:color="auto"/>
        <w:left w:val="none" w:sz="0" w:space="0" w:color="auto"/>
        <w:bottom w:val="none" w:sz="0" w:space="0" w:color="auto"/>
        <w:right w:val="none" w:sz="0" w:space="0" w:color="auto"/>
      </w:divBdr>
      <w:divsChild>
        <w:div w:id="216403047">
          <w:marLeft w:val="0"/>
          <w:marRight w:val="0"/>
          <w:marTop w:val="0"/>
          <w:marBottom w:val="0"/>
          <w:divBdr>
            <w:top w:val="none" w:sz="0" w:space="0" w:color="auto"/>
            <w:left w:val="none" w:sz="0" w:space="0" w:color="auto"/>
            <w:bottom w:val="none" w:sz="0" w:space="0" w:color="auto"/>
            <w:right w:val="none" w:sz="0" w:space="0" w:color="auto"/>
          </w:divBdr>
          <w:divsChild>
            <w:div w:id="289825312">
              <w:marLeft w:val="0"/>
              <w:marRight w:val="0"/>
              <w:marTop w:val="0"/>
              <w:marBottom w:val="0"/>
              <w:divBdr>
                <w:top w:val="none" w:sz="0" w:space="0" w:color="auto"/>
                <w:left w:val="none" w:sz="0" w:space="0" w:color="auto"/>
                <w:bottom w:val="none" w:sz="0" w:space="0" w:color="auto"/>
                <w:right w:val="none" w:sz="0" w:space="0" w:color="auto"/>
              </w:divBdr>
              <w:divsChild>
                <w:div w:id="546382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4396593">
          <w:marLeft w:val="0"/>
          <w:marRight w:val="0"/>
          <w:marTop w:val="0"/>
          <w:marBottom w:val="0"/>
          <w:divBdr>
            <w:top w:val="none" w:sz="0" w:space="0" w:color="auto"/>
            <w:left w:val="none" w:sz="0" w:space="0" w:color="auto"/>
            <w:bottom w:val="none" w:sz="0" w:space="0" w:color="auto"/>
            <w:right w:val="none" w:sz="0" w:space="0" w:color="auto"/>
          </w:divBdr>
          <w:divsChild>
            <w:div w:id="773940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92048">
      <w:bodyDiv w:val="1"/>
      <w:marLeft w:val="0"/>
      <w:marRight w:val="0"/>
      <w:marTop w:val="0"/>
      <w:marBottom w:val="0"/>
      <w:divBdr>
        <w:top w:val="none" w:sz="0" w:space="0" w:color="auto"/>
        <w:left w:val="none" w:sz="0" w:space="0" w:color="auto"/>
        <w:bottom w:val="none" w:sz="0" w:space="0" w:color="auto"/>
        <w:right w:val="none" w:sz="0" w:space="0" w:color="auto"/>
      </w:divBdr>
      <w:divsChild>
        <w:div w:id="477915329">
          <w:marLeft w:val="0"/>
          <w:marRight w:val="0"/>
          <w:marTop w:val="0"/>
          <w:marBottom w:val="0"/>
          <w:divBdr>
            <w:top w:val="none" w:sz="0" w:space="0" w:color="auto"/>
            <w:left w:val="none" w:sz="0" w:space="0" w:color="auto"/>
            <w:bottom w:val="none" w:sz="0" w:space="0" w:color="auto"/>
            <w:right w:val="none" w:sz="0" w:space="0" w:color="auto"/>
          </w:divBdr>
        </w:div>
        <w:div w:id="747968574">
          <w:marLeft w:val="0"/>
          <w:marRight w:val="0"/>
          <w:marTop w:val="0"/>
          <w:marBottom w:val="0"/>
          <w:divBdr>
            <w:top w:val="none" w:sz="0" w:space="0" w:color="auto"/>
            <w:left w:val="none" w:sz="0" w:space="0" w:color="auto"/>
            <w:bottom w:val="none" w:sz="0" w:space="0" w:color="auto"/>
            <w:right w:val="none" w:sz="0" w:space="0" w:color="auto"/>
          </w:divBdr>
        </w:div>
        <w:div w:id="891964107">
          <w:marLeft w:val="0"/>
          <w:marRight w:val="0"/>
          <w:marTop w:val="0"/>
          <w:marBottom w:val="0"/>
          <w:divBdr>
            <w:top w:val="none" w:sz="0" w:space="0" w:color="auto"/>
            <w:left w:val="none" w:sz="0" w:space="0" w:color="auto"/>
            <w:bottom w:val="none" w:sz="0" w:space="0" w:color="auto"/>
            <w:right w:val="none" w:sz="0" w:space="0" w:color="auto"/>
          </w:divBdr>
        </w:div>
        <w:div w:id="1309552157">
          <w:marLeft w:val="0"/>
          <w:marRight w:val="0"/>
          <w:marTop w:val="0"/>
          <w:marBottom w:val="0"/>
          <w:divBdr>
            <w:top w:val="none" w:sz="0" w:space="0" w:color="auto"/>
            <w:left w:val="none" w:sz="0" w:space="0" w:color="auto"/>
            <w:bottom w:val="none" w:sz="0" w:space="0" w:color="auto"/>
            <w:right w:val="none" w:sz="0" w:space="0" w:color="auto"/>
          </w:divBdr>
        </w:div>
      </w:divsChild>
    </w:div>
    <w:div w:id="1915622610">
      <w:bodyDiv w:val="1"/>
      <w:marLeft w:val="0"/>
      <w:marRight w:val="0"/>
      <w:marTop w:val="0"/>
      <w:marBottom w:val="0"/>
      <w:divBdr>
        <w:top w:val="none" w:sz="0" w:space="0" w:color="auto"/>
        <w:left w:val="none" w:sz="0" w:space="0" w:color="auto"/>
        <w:bottom w:val="none" w:sz="0" w:space="0" w:color="auto"/>
        <w:right w:val="none" w:sz="0" w:space="0" w:color="auto"/>
      </w:divBdr>
    </w:div>
    <w:div w:id="2028629608">
      <w:bodyDiv w:val="1"/>
      <w:marLeft w:val="0"/>
      <w:marRight w:val="0"/>
      <w:marTop w:val="0"/>
      <w:marBottom w:val="0"/>
      <w:divBdr>
        <w:top w:val="none" w:sz="0" w:space="0" w:color="auto"/>
        <w:left w:val="none" w:sz="0" w:space="0" w:color="auto"/>
        <w:bottom w:val="none" w:sz="0" w:space="0" w:color="auto"/>
        <w:right w:val="none" w:sz="0" w:space="0" w:color="auto"/>
      </w:divBdr>
    </w:div>
    <w:div w:id="2086562301">
      <w:bodyDiv w:val="1"/>
      <w:marLeft w:val="0"/>
      <w:marRight w:val="0"/>
      <w:marTop w:val="0"/>
      <w:marBottom w:val="0"/>
      <w:divBdr>
        <w:top w:val="none" w:sz="0" w:space="0" w:color="auto"/>
        <w:left w:val="none" w:sz="0" w:space="0" w:color="auto"/>
        <w:bottom w:val="none" w:sz="0" w:space="0" w:color="auto"/>
        <w:right w:val="none" w:sz="0" w:space="0" w:color="auto"/>
      </w:divBdr>
    </w:div>
    <w:div w:id="2126078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6.xml"/><Relationship Id="rId21" Type="http://schemas.openxmlformats.org/officeDocument/2006/relationships/chart" Target="charts/chart11.xml"/><Relationship Id="rId42" Type="http://schemas.openxmlformats.org/officeDocument/2006/relationships/image" Target="media/image12.gif"/><Relationship Id="rId47" Type="http://schemas.openxmlformats.org/officeDocument/2006/relationships/hyperlink" Target="https://pubmed.ncbi.nlm.nih.gov/?term=Ullah%20I%5BAuthor%5D" TargetMode="External"/><Relationship Id="rId63" Type="http://schemas.openxmlformats.org/officeDocument/2006/relationships/hyperlink" Target="https://pubmed.ncbi.nlm.nih.gov/?term=Mukhopadhyay+S&amp;cauthor_id=25782530" TargetMode="External"/><Relationship Id="rId68" Type="http://schemas.openxmlformats.org/officeDocument/2006/relationships/hyperlink" Target="https://pubmed.ncbi.nlm.nih.gov/?term=Ben-Arye+E&amp;cauthor_id=26156538" TargetMode="External"/><Relationship Id="rId84" Type="http://schemas.openxmlformats.org/officeDocument/2006/relationships/hyperlink" Target="http://dspace.nuph.edu.ua/handle/123456789/16021" TargetMode="External"/><Relationship Id="rId89" Type="http://schemas.openxmlformats.org/officeDocument/2006/relationships/image" Target="media/image17.jpeg"/><Relationship Id="rId16" Type="http://schemas.openxmlformats.org/officeDocument/2006/relationships/image" Target="media/image3.jpeg"/><Relationship Id="rId107" Type="http://schemas.openxmlformats.org/officeDocument/2006/relationships/header" Target="header1.xml"/><Relationship Id="rId11" Type="http://schemas.openxmlformats.org/officeDocument/2006/relationships/chart" Target="charts/chart2.xml"/><Relationship Id="rId32" Type="http://schemas.openxmlformats.org/officeDocument/2006/relationships/image" Target="media/image5.png"/><Relationship Id="rId37" Type="http://schemas.openxmlformats.org/officeDocument/2006/relationships/image" Target="media/image10.png"/><Relationship Id="rId53" Type="http://schemas.openxmlformats.org/officeDocument/2006/relationships/hyperlink" Target="https://www.researchgate.net/journal/International-Journal-of-Pharmaceutical-Sciences-Review-and-Research-0976-044X?_tp=eyJjb250ZXh0Ijp7ImZpcnN0UGFnZSI6InB1YmxpY2F0aW9uIiwicGFnZSI6InB1YmxpY2F0aW9uIn19" TargetMode="External"/><Relationship Id="rId58" Type="http://schemas.openxmlformats.org/officeDocument/2006/relationships/hyperlink" Target="https://pubmed.ncbi.nlm.nih.gov/?term=Gangopadhyay+S&amp;cauthor_id=25782530" TargetMode="External"/><Relationship Id="rId74" Type="http://schemas.openxmlformats.org/officeDocument/2006/relationships/hyperlink" Target="https://pubmed.ncbi.nlm.nih.gov/?term=Shukla+S&amp;cauthor_id=28605975" TargetMode="External"/><Relationship Id="rId79" Type="http://schemas.openxmlformats.org/officeDocument/2006/relationships/hyperlink" Target="https://doi.org/10.1016/j.cgh.2016.08.028" TargetMode="External"/><Relationship Id="rId102" Type="http://schemas.openxmlformats.org/officeDocument/2006/relationships/image" Target="media/image30.jpeg"/><Relationship Id="rId5" Type="http://schemas.openxmlformats.org/officeDocument/2006/relationships/webSettings" Target="webSettings.xml"/><Relationship Id="rId90" Type="http://schemas.openxmlformats.org/officeDocument/2006/relationships/image" Target="media/image18.jpeg"/><Relationship Id="rId95" Type="http://schemas.openxmlformats.org/officeDocument/2006/relationships/image" Target="media/image23.jpeg"/><Relationship Id="rId22" Type="http://schemas.openxmlformats.org/officeDocument/2006/relationships/chart" Target="charts/chart12.xml"/><Relationship Id="rId27" Type="http://schemas.openxmlformats.org/officeDocument/2006/relationships/chart" Target="charts/chart17.xml"/><Relationship Id="rId43" Type="http://schemas.openxmlformats.org/officeDocument/2006/relationships/hyperlink" Target="https://pubmed.ncbi.nlm.nih.gov/?term=Fatima%20K%5BAuthor%5D" TargetMode="External"/><Relationship Id="rId48" Type="http://schemas.openxmlformats.org/officeDocument/2006/relationships/hyperlink" Target="https://pubmed.ncbi.nlm.nih.gov/?term=Raza%20A%5BAuthor%5D" TargetMode="External"/><Relationship Id="rId64" Type="http://schemas.openxmlformats.org/officeDocument/2006/relationships/hyperlink" Target="https://pubmed.ncbi.nlm.nih.gov/25782530/" TargetMode="External"/><Relationship Id="rId69" Type="http://schemas.openxmlformats.org/officeDocument/2006/relationships/hyperlink" Target="https://pubmed.ncbi.nlm.nih.gov/?term=Epelbaum+R&amp;cauthor_id=26156538" TargetMode="External"/><Relationship Id="rId80" Type="http://schemas.openxmlformats.org/officeDocument/2006/relationships/hyperlink" Target="https://doi.org/10.4254%2Fwjh.v6.i3.144" TargetMode="External"/><Relationship Id="rId85" Type="http://schemas.openxmlformats.org/officeDocument/2006/relationships/image" Target="media/image13.jpeg"/><Relationship Id="rId12" Type="http://schemas.openxmlformats.org/officeDocument/2006/relationships/chart" Target="charts/chart3.xml"/><Relationship Id="rId17" Type="http://schemas.openxmlformats.org/officeDocument/2006/relationships/chart" Target="charts/chart7.xml"/><Relationship Id="rId33" Type="http://schemas.openxmlformats.org/officeDocument/2006/relationships/image" Target="media/image6.png"/><Relationship Id="rId38" Type="http://schemas.openxmlformats.org/officeDocument/2006/relationships/image" Target="media/image11.png"/><Relationship Id="rId59" Type="http://schemas.openxmlformats.org/officeDocument/2006/relationships/hyperlink" Target="https://pubmed.ncbi.nlm.nih.gov/?term=Das+K&amp;cauthor_id=25782530" TargetMode="External"/><Relationship Id="rId103" Type="http://schemas.openxmlformats.org/officeDocument/2006/relationships/image" Target="media/image31.jpeg"/><Relationship Id="rId108" Type="http://schemas.openxmlformats.org/officeDocument/2006/relationships/footer" Target="footer1.xml"/><Relationship Id="rId54" Type="http://schemas.openxmlformats.org/officeDocument/2006/relationships/hyperlink" Target="https://pubmed.ncbi.nlm.nih.gov/?term=Das+P&amp;cauthor_id=25782530" TargetMode="External"/><Relationship Id="rId70" Type="http://schemas.openxmlformats.org/officeDocument/2006/relationships/hyperlink" Target="https://pubmed.ncbi.nlm.nih.gov/?term=Rajoria+A&amp;cauthor_id=28605975" TargetMode="External"/><Relationship Id="rId75" Type="http://schemas.openxmlformats.org/officeDocument/2006/relationships/hyperlink" Target="https://pubmed.ncbi.nlm.nih.gov/?term=Bajpai+VK&amp;cauthor_id=28605975" TargetMode="External"/><Relationship Id="rId91" Type="http://schemas.openxmlformats.org/officeDocument/2006/relationships/image" Target="media/image19.jpeg"/><Relationship Id="rId96"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image" Target="media/image9.png"/><Relationship Id="rId49" Type="http://schemas.openxmlformats.org/officeDocument/2006/relationships/hyperlink" Target="https://pubmed.ncbi.nlm.nih.gov/?term=Shinwari%20ZK%5BAuthor%5D" TargetMode="External"/><Relationship Id="rId57" Type="http://schemas.openxmlformats.org/officeDocument/2006/relationships/hyperlink" Target="https://pubmed.ncbi.nlm.nih.gov/25782530/" TargetMode="External"/><Relationship Id="rId106" Type="http://schemas.openxmlformats.org/officeDocument/2006/relationships/image" Target="media/image34.jpeg"/><Relationship Id="rId10" Type="http://schemas.openxmlformats.org/officeDocument/2006/relationships/chart" Target="charts/chart1.xml"/><Relationship Id="rId31" Type="http://schemas.openxmlformats.org/officeDocument/2006/relationships/image" Target="media/image4.png"/><Relationship Id="rId44" Type="http://schemas.openxmlformats.org/officeDocument/2006/relationships/hyperlink" Target="https://pubmed.ncbi.nlm.nih.gov/?term=Ali%20Qu%5BAuthor%5D" TargetMode="External"/><Relationship Id="rId52" Type="http://schemas.openxmlformats.org/officeDocument/2006/relationships/hyperlink" Target="https://www.researchgate.net/scientific-contributions/SA-Ashok-2093219971?_tp=eyJjb250ZXh0Ijp7ImZpcnN0UGFnZSI6InB1YmxpY2F0aW9uIiwicGFnZSI6InB1YmxpY2F0aW9uIn19" TargetMode="External"/><Relationship Id="rId60" Type="http://schemas.openxmlformats.org/officeDocument/2006/relationships/hyperlink" Target="https://pubmed.ncbi.nlm.nih.gov/?term=Mitra+AG&amp;cauthor_id=25782530" TargetMode="External"/><Relationship Id="rId65" Type="http://schemas.openxmlformats.org/officeDocument/2006/relationships/hyperlink" Target="https://pubmed.ncbi.nlm.nih.gov/?term=Mukhopadhyay+A&amp;cauthor_id=25782530" TargetMode="External"/><Relationship Id="rId73" Type="http://schemas.openxmlformats.org/officeDocument/2006/relationships/hyperlink" Target="https://pubmed.ncbi.nlm.nih.gov/?term=Ahirwal+L&amp;cauthor_id=28605975" TargetMode="External"/><Relationship Id="rId78" Type="http://schemas.openxmlformats.org/officeDocument/2006/relationships/hyperlink" Target="https://doi.org/10.1016/S0140-6736(21)01374-X" TargetMode="External"/><Relationship Id="rId81" Type="http://schemas.openxmlformats.org/officeDocument/2006/relationships/hyperlink" Target="https://www.farmer.pl/produkcja-roslinna/ochrona-roslin/perz-na-sciernisku-jak-sobie-z-nim-poradzic,135589.html" TargetMode="External"/><Relationship Id="rId86" Type="http://schemas.openxmlformats.org/officeDocument/2006/relationships/image" Target="media/image14.jpeg"/><Relationship Id="rId94" Type="http://schemas.openxmlformats.org/officeDocument/2006/relationships/image" Target="media/image22.jpeg"/><Relationship Id="rId99" Type="http://schemas.openxmlformats.org/officeDocument/2006/relationships/image" Target="media/image27.jpeg"/><Relationship Id="rId101" Type="http://schemas.openxmlformats.org/officeDocument/2006/relationships/image" Target="media/image29.jpe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chart" Target="charts/chart8.xml"/><Relationship Id="rId39" Type="http://schemas.openxmlformats.org/officeDocument/2006/relationships/hyperlink" Target="https://doi.org/10.1155/2014/890842" TargetMode="External"/><Relationship Id="rId109" Type="http://schemas.openxmlformats.org/officeDocument/2006/relationships/fontTable" Target="fontTable.xml"/><Relationship Id="rId34" Type="http://schemas.openxmlformats.org/officeDocument/2006/relationships/image" Target="media/image7.png"/><Relationship Id="rId50" Type="http://schemas.openxmlformats.org/officeDocument/2006/relationships/hyperlink" Target="https://pubmed.ncbi.nlm.nih.gov/?term=Idrees%20M%5BAuthor%5D" TargetMode="External"/><Relationship Id="rId55" Type="http://schemas.openxmlformats.org/officeDocument/2006/relationships/hyperlink" Target="https://pubmed.ncbi.nlm.nih.gov/25782530/" TargetMode="External"/><Relationship Id="rId76" Type="http://schemas.openxmlformats.org/officeDocument/2006/relationships/hyperlink" Target="https://doi.org/10.3389/fimmu.2023.1314123" TargetMode="External"/><Relationship Id="rId97" Type="http://schemas.openxmlformats.org/officeDocument/2006/relationships/image" Target="media/image25.jpeg"/><Relationship Id="rId104" Type="http://schemas.openxmlformats.org/officeDocument/2006/relationships/image" Target="media/image32.jpeg"/><Relationship Id="rId7" Type="http://schemas.openxmlformats.org/officeDocument/2006/relationships/endnotes" Target="endnotes.xml"/><Relationship Id="rId71" Type="http://schemas.openxmlformats.org/officeDocument/2006/relationships/hyperlink" Target="https://pubmed.ncbi.nlm.nih.gov/?term=Mehta+A&amp;cauthor_id=28605975" TargetMode="External"/><Relationship Id="rId92" Type="http://schemas.openxmlformats.org/officeDocument/2006/relationships/image" Target="media/image20.jpeg"/><Relationship Id="rId2" Type="http://schemas.openxmlformats.org/officeDocument/2006/relationships/numbering" Target="numbering.xml"/><Relationship Id="rId29" Type="http://schemas.openxmlformats.org/officeDocument/2006/relationships/chart" Target="charts/chart19.xml"/><Relationship Id="rId24" Type="http://schemas.openxmlformats.org/officeDocument/2006/relationships/chart" Target="charts/chart14.xml"/><Relationship Id="rId40" Type="http://schemas.openxmlformats.org/officeDocument/2006/relationships/hyperlink" Target="https://pubmed.ncbi.nlm.nih.gov/?term=Ali%20M%5BAuthor%5D" TargetMode="External"/><Relationship Id="rId45" Type="http://schemas.openxmlformats.org/officeDocument/2006/relationships/hyperlink" Target="https://pubmed.ncbi.nlm.nih.gov/?term=Ovais%20M%5BAuthor%5D" TargetMode="External"/><Relationship Id="rId66" Type="http://schemas.openxmlformats.org/officeDocument/2006/relationships/hyperlink" Target="https://pubmed.ncbi.nlm.nih.gov/?term=Bar-Sela+G&amp;cauthor_id=26156538" TargetMode="External"/><Relationship Id="rId87" Type="http://schemas.openxmlformats.org/officeDocument/2006/relationships/image" Target="media/image15.jpeg"/><Relationship Id="rId110" Type="http://schemas.openxmlformats.org/officeDocument/2006/relationships/theme" Target="theme/theme1.xml"/><Relationship Id="rId61" Type="http://schemas.openxmlformats.org/officeDocument/2006/relationships/hyperlink" Target="https://pubmed.ncbi.nlm.nih.gov/25782530/" TargetMode="External"/><Relationship Id="rId82" Type="http://schemas.openxmlformats.org/officeDocument/2006/relationships/hyperlink" Target="https://compendium.com.ua/dec/260709/" TargetMode="External"/><Relationship Id="rId19" Type="http://schemas.openxmlformats.org/officeDocument/2006/relationships/chart" Target="charts/chart9.xml"/><Relationship Id="rId14" Type="http://schemas.openxmlformats.org/officeDocument/2006/relationships/chart" Target="charts/chart5.xml"/><Relationship Id="rId30" Type="http://schemas.openxmlformats.org/officeDocument/2006/relationships/chart" Target="charts/chart20.xml"/><Relationship Id="rId35" Type="http://schemas.openxmlformats.org/officeDocument/2006/relationships/image" Target="media/image8.png"/><Relationship Id="rId56" Type="http://schemas.openxmlformats.org/officeDocument/2006/relationships/hyperlink" Target="https://pubmed.ncbi.nlm.nih.gov/?term=Mandal+S&amp;cauthor_id=25782530" TargetMode="External"/><Relationship Id="rId77" Type="http://schemas.openxmlformats.org/officeDocument/2006/relationships/hyperlink" Target="https://doi.org/10.1016/j.rmu.2015.10.002" TargetMode="External"/><Relationship Id="rId100" Type="http://schemas.openxmlformats.org/officeDocument/2006/relationships/image" Target="media/image28.jpeg"/><Relationship Id="rId105" Type="http://schemas.openxmlformats.org/officeDocument/2006/relationships/image" Target="media/image33.jpeg"/><Relationship Id="rId8" Type="http://schemas.openxmlformats.org/officeDocument/2006/relationships/image" Target="media/image1.jpg"/><Relationship Id="rId51" Type="http://schemas.openxmlformats.org/officeDocument/2006/relationships/hyperlink" Target="https://www.ncbi.nlm.nih.gov/pmc/articles/PMC7167792/" TargetMode="External"/><Relationship Id="rId72" Type="http://schemas.openxmlformats.org/officeDocument/2006/relationships/hyperlink" Target="https://pubmed.ncbi.nlm.nih.gov/?term=Mehta+P&amp;cauthor_id=28605975" TargetMode="External"/><Relationship Id="rId93" Type="http://schemas.openxmlformats.org/officeDocument/2006/relationships/image" Target="media/image21.jpeg"/><Relationship Id="rId98" Type="http://schemas.openxmlformats.org/officeDocument/2006/relationships/image" Target="media/image26.jpeg"/><Relationship Id="rId3" Type="http://schemas.openxmlformats.org/officeDocument/2006/relationships/styles" Target="styles.xml"/><Relationship Id="rId25" Type="http://schemas.openxmlformats.org/officeDocument/2006/relationships/chart" Target="charts/chart15.xml"/><Relationship Id="rId46" Type="http://schemas.openxmlformats.org/officeDocument/2006/relationships/hyperlink" Target="https://pubmed.ncbi.nlm.nih.gov/?term=Khalil%20AT%5BAuthor%5D" TargetMode="External"/><Relationship Id="rId67" Type="http://schemas.openxmlformats.org/officeDocument/2006/relationships/hyperlink" Target="https://pubmed.ncbi.nlm.nih.gov/?term=Cohen+M&amp;cauthor_id=26156538" TargetMode="External"/><Relationship Id="rId20" Type="http://schemas.openxmlformats.org/officeDocument/2006/relationships/chart" Target="charts/chart10.xml"/><Relationship Id="rId41" Type="http://schemas.openxmlformats.org/officeDocument/2006/relationships/hyperlink" Target="https://pubmed.ncbi.nlm.nih.gov/?term=Khan%20T%5BAuthor%5D" TargetMode="External"/><Relationship Id="rId62" Type="http://schemas.openxmlformats.org/officeDocument/2006/relationships/hyperlink" Target="https://pubmed.ncbi.nlm.nih.gov/?term=Dasgupta+S&amp;cauthor_id=25782530" TargetMode="External"/><Relationship Id="rId83" Type="http://schemas.openxmlformats.org/officeDocument/2006/relationships/hyperlink" Target="https://compendium.com.ua/dec/260709/" TargetMode="External"/><Relationship Id="rId88" Type="http://schemas.openxmlformats.org/officeDocument/2006/relationships/image" Target="media/image16.jpeg"/></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_____Microsoft_Excel11.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_____Microsoft_Excel12.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_____Microsoft_Excel13.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_____Microsoft_Excel14.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_____Microsoft_Excel15.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_____Microsoft_Excel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_____Microsoft_Excel17.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5.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44;&#1080;&#1072;&#1075;&#1088;&#1072;&#1084;&#1084;&#1072;%20&#1074;%20Microsoft%20Word" TargetMode="External"/></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   </c:v>
                </c:pt>
              </c:strCache>
            </c:strRef>
          </c:tx>
          <c:dLbls>
            <c:dLbl>
              <c:idx val="0"/>
              <c:layout>
                <c:manualLayout>
                  <c:x val="4.7365205629159836E-2"/>
                  <c:y val="-0.26205013364155166"/>
                </c:manualLayout>
              </c:layout>
              <c:tx>
                <c:rich>
                  <a:bodyPr/>
                  <a:lstStyle/>
                  <a:p>
                    <a:pPr>
                      <a:defRPr sz="1200"/>
                    </a:pPr>
                    <a:r>
                      <a:rPr lang="en-US" sz="1200"/>
                      <a:t>75,60  %</a:t>
                    </a:r>
                  </a:p>
                </c:rich>
              </c:tx>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CB29-4122-8180-1A67ECF70AB1}"/>
                </c:ext>
              </c:extLst>
            </c:dLbl>
            <c:dLbl>
              <c:idx val="1"/>
              <c:layout>
                <c:manualLayout>
                  <c:x val="-1.2055037488914568E-2"/>
                  <c:y val="0.10428327193045824"/>
                </c:manualLayout>
              </c:layout>
              <c:tx>
                <c:rich>
                  <a:bodyPr/>
                  <a:lstStyle/>
                  <a:p>
                    <a:r>
                      <a:rPr lang="en-US" sz="1200"/>
                      <a:t>24,40 %</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CB29-4122-8180-1A67ECF70AB1}"/>
                </c:ext>
              </c:extLst>
            </c:dLbl>
            <c:spPr>
              <a:noFill/>
              <a:ln>
                <a:noFill/>
              </a:ln>
              <a:effectLst/>
            </c:spPr>
            <c:showLegendKey val="0"/>
            <c:showVal val="1"/>
            <c:showCatName val="0"/>
            <c:showSerName val="0"/>
            <c:showPercent val="0"/>
            <c:showBubbleSize val="0"/>
            <c:showLeaderLines val="1"/>
            <c:extLst>
              <c:ext xmlns:c15="http://schemas.microsoft.com/office/drawing/2012/chart" uri="{CE6537A1-D6FC-4f65-9D91-7224C49458BB}"/>
            </c:extLst>
          </c:dLbls>
          <c:cat>
            <c:strRef>
              <c:f>Лист1!$A$2:$A$3</c:f>
              <c:strCache>
                <c:ptCount val="2"/>
                <c:pt idx="0">
                  <c:v>Вітчизняні</c:v>
                </c:pt>
                <c:pt idx="1">
                  <c:v>Закордонні</c:v>
                </c:pt>
              </c:strCache>
            </c:strRef>
          </c:cat>
          <c:val>
            <c:numRef>
              <c:f>Лист1!$B$2:$B$3</c:f>
              <c:numCache>
                <c:formatCode>0.00%</c:formatCode>
                <c:ptCount val="2"/>
                <c:pt idx="0">
                  <c:v>0.75600000000000001</c:v>
                </c:pt>
                <c:pt idx="1">
                  <c:v>0.24399999999999999</c:v>
                </c:pt>
              </c:numCache>
            </c:numRef>
          </c:val>
          <c:extLst>
            <c:ext xmlns:c16="http://schemas.microsoft.com/office/drawing/2014/chart" uri="{C3380CC4-5D6E-409C-BE32-E72D297353CC}">
              <c16:uniqueId val="{00000002-CB29-4122-8180-1A67ECF70AB1}"/>
            </c:ext>
          </c:extLst>
        </c:ser>
        <c:dLbls>
          <c:showLegendKey val="0"/>
          <c:showVal val="0"/>
          <c:showCatName val="0"/>
          <c:showSerName val="0"/>
          <c:showPercent val="0"/>
          <c:showBubbleSize val="0"/>
          <c:showLeaderLines val="1"/>
        </c:dLbls>
        <c:firstSliceAng val="0"/>
      </c:pieChart>
    </c:plotArea>
    <c:legend>
      <c:legendPos val="r"/>
      <c:layout>
        <c:manualLayout>
          <c:xMode val="edge"/>
          <c:yMode val="edge"/>
          <c:x val="0.6893753639156881"/>
          <c:y val="0.19979869488790966"/>
          <c:w val="0.19230836759739503"/>
          <c:h val="0.61059885862890995"/>
        </c:manualLayout>
      </c:layout>
      <c:overlay val="0"/>
      <c:txPr>
        <a:bodyPr/>
        <a:lstStyle/>
        <a:p>
          <a:pPr>
            <a:defRPr sz="1200"/>
          </a:pPr>
          <a:endParaRPr lang="uk-UA"/>
        </a:p>
      </c:txPr>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Текучість 100 г/с</c:v>
                </c:pt>
              </c:strCache>
            </c:strRef>
          </c:tx>
          <c:spPr>
            <a:gradFill flip="none" rotWithShape="1">
              <a:gsLst>
                <a:gs pos="0">
                  <a:srgbClr val="7030A0">
                    <a:tint val="66000"/>
                    <a:satMod val="160000"/>
                  </a:srgbClr>
                </a:gs>
                <a:gs pos="50000">
                  <a:srgbClr val="7030A0">
                    <a:tint val="44500"/>
                    <a:satMod val="160000"/>
                  </a:srgbClr>
                </a:gs>
                <a:gs pos="100000">
                  <a:srgbClr val="7030A0">
                    <a:tint val="23500"/>
                    <a:satMod val="160000"/>
                  </a:srgbClr>
                </a:gs>
              </a:gsLst>
              <a:lin ang="5400000" scaled="1"/>
              <a:tileRect/>
            </a:gra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Просолв 90</c:v>
                </c:pt>
                <c:pt idx="1">
                  <c:v>Неуселін US 2</c:v>
                </c:pt>
                <c:pt idx="2">
                  <c:v>Аеросил </c:v>
                </c:pt>
              </c:strCache>
            </c:strRef>
          </c:cat>
          <c:val>
            <c:numRef>
              <c:f>Лист1!$B$2:$B$4</c:f>
              <c:numCache>
                <c:formatCode>General</c:formatCode>
                <c:ptCount val="3"/>
                <c:pt idx="0">
                  <c:v>21.11</c:v>
                </c:pt>
                <c:pt idx="1">
                  <c:v>24.526669999999999</c:v>
                </c:pt>
                <c:pt idx="2">
                  <c:v>26.65</c:v>
                </c:pt>
              </c:numCache>
            </c:numRef>
          </c:val>
          <c:extLst>
            <c:ext xmlns:c16="http://schemas.microsoft.com/office/drawing/2014/chart" uri="{C3380CC4-5D6E-409C-BE32-E72D297353CC}">
              <c16:uniqueId val="{00000000-136D-495F-9DED-3EE7A5D4F647}"/>
            </c:ext>
          </c:extLst>
        </c:ser>
        <c:dLbls>
          <c:dLblPos val="outEnd"/>
          <c:showLegendKey val="0"/>
          <c:showVal val="1"/>
          <c:showCatName val="0"/>
          <c:showSerName val="0"/>
          <c:showPercent val="0"/>
          <c:showBubbleSize val="0"/>
        </c:dLbls>
        <c:gapWidth val="150"/>
        <c:axId val="475153536"/>
        <c:axId val="475164672"/>
      </c:barChart>
      <c:catAx>
        <c:axId val="475153536"/>
        <c:scaling>
          <c:orientation val="minMax"/>
        </c:scaling>
        <c:delete val="0"/>
        <c:axPos val="b"/>
        <c:numFmt formatCode="General" sourceLinked="0"/>
        <c:majorTickMark val="out"/>
        <c:minorTickMark val="none"/>
        <c:tickLblPos val="nextTo"/>
        <c:crossAx val="475164672"/>
        <c:crosses val="autoZero"/>
        <c:auto val="1"/>
        <c:lblAlgn val="ctr"/>
        <c:lblOffset val="100"/>
        <c:noMultiLvlLbl val="0"/>
      </c:catAx>
      <c:valAx>
        <c:axId val="475164672"/>
        <c:scaling>
          <c:orientation val="minMax"/>
        </c:scaling>
        <c:delete val="0"/>
        <c:axPos val="l"/>
        <c:majorGridlines/>
        <c:title>
          <c:tx>
            <c:rich>
              <a:bodyPr rot="0" vert="horz"/>
              <a:lstStyle/>
              <a:p>
                <a:pPr>
                  <a:defRPr/>
                </a:pPr>
                <a:r>
                  <a:rPr lang="ru-RU"/>
                  <a:t>г/с</a:t>
                </a:r>
              </a:p>
            </c:rich>
          </c:tx>
          <c:layout>
            <c:manualLayout>
              <c:xMode val="edge"/>
              <c:yMode val="edge"/>
              <c:x val="0"/>
              <c:y val="2.5716634477294116E-2"/>
            </c:manualLayout>
          </c:layout>
          <c:overlay val="0"/>
        </c:title>
        <c:numFmt formatCode="General" sourceLinked="1"/>
        <c:majorTickMark val="out"/>
        <c:minorTickMark val="none"/>
        <c:tickLblPos val="nextTo"/>
        <c:crossAx val="475153536"/>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Коефіцієнт Гауснера</c:v>
                </c:pt>
              </c:strCache>
            </c:strRef>
          </c:tx>
          <c:spPr>
            <a:gradFill flip="none" rotWithShape="1">
              <a:gsLst>
                <a:gs pos="0">
                  <a:srgbClr val="C00000">
                    <a:tint val="66000"/>
                    <a:satMod val="160000"/>
                  </a:srgbClr>
                </a:gs>
                <a:gs pos="50000">
                  <a:srgbClr val="C00000">
                    <a:tint val="44500"/>
                    <a:satMod val="160000"/>
                  </a:srgbClr>
                </a:gs>
                <a:gs pos="100000">
                  <a:srgbClr val="C00000">
                    <a:tint val="23500"/>
                    <a:satMod val="160000"/>
                  </a:srgbClr>
                </a:gs>
              </a:gsLst>
              <a:lin ang="5400000" scaled="1"/>
              <a:tileRect/>
            </a:gradFill>
          </c:spPr>
          <c:invertIfNegative val="0"/>
          <c:dLbls>
            <c:dLbl>
              <c:idx val="1"/>
              <c:layout/>
              <c:tx>
                <c:rich>
                  <a:bodyPr/>
                  <a:lstStyle/>
                  <a:p>
                    <a:r>
                      <a:rPr lang="en-US"/>
                      <a:t>1,087</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72CE-4C62-8943-33B67563E201}"/>
                </c:ext>
              </c:extLst>
            </c:dLbl>
            <c:dLbl>
              <c:idx val="2"/>
              <c:layout/>
              <c:tx>
                <c:rich>
                  <a:bodyPr/>
                  <a:lstStyle/>
                  <a:p>
                    <a:r>
                      <a:rPr lang="en-US"/>
                      <a:t>1,09</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72CE-4C62-8943-33B67563E201}"/>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1.05</c:v>
                </c:pt>
                <c:pt idx="1">
                  <c:v>1.086667</c:v>
                </c:pt>
                <c:pt idx="2">
                  <c:v>1.0933330000000001</c:v>
                </c:pt>
              </c:numCache>
            </c:numRef>
          </c:val>
          <c:extLst>
            <c:ext xmlns:c16="http://schemas.microsoft.com/office/drawing/2014/chart" uri="{C3380CC4-5D6E-409C-BE32-E72D297353CC}">
              <c16:uniqueId val="{00000002-72CE-4C62-8943-33B67563E201}"/>
            </c:ext>
          </c:extLst>
        </c:ser>
        <c:dLbls>
          <c:dLblPos val="outEnd"/>
          <c:showLegendKey val="0"/>
          <c:showVal val="1"/>
          <c:showCatName val="0"/>
          <c:showSerName val="0"/>
          <c:showPercent val="0"/>
          <c:showBubbleSize val="0"/>
        </c:dLbls>
        <c:gapWidth val="150"/>
        <c:axId val="475172864"/>
        <c:axId val="475175552"/>
      </c:barChart>
      <c:catAx>
        <c:axId val="475172864"/>
        <c:scaling>
          <c:orientation val="minMax"/>
        </c:scaling>
        <c:delete val="0"/>
        <c:axPos val="b"/>
        <c:numFmt formatCode="General" sourceLinked="0"/>
        <c:majorTickMark val="out"/>
        <c:minorTickMark val="none"/>
        <c:tickLblPos val="nextTo"/>
        <c:crossAx val="475175552"/>
        <c:crosses val="autoZero"/>
        <c:auto val="1"/>
        <c:lblAlgn val="ctr"/>
        <c:lblOffset val="100"/>
        <c:noMultiLvlLbl val="0"/>
      </c:catAx>
      <c:valAx>
        <c:axId val="475175552"/>
        <c:scaling>
          <c:orientation val="minMax"/>
        </c:scaling>
        <c:delete val="0"/>
        <c:axPos val="l"/>
        <c:majorGridlines/>
        <c:numFmt formatCode="General" sourceLinked="1"/>
        <c:majorTickMark val="out"/>
        <c:minorTickMark val="none"/>
        <c:tickLblPos val="nextTo"/>
        <c:crossAx val="475172864"/>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Насипна густина до усадки (p0)</c:v>
                </c:pt>
              </c:strCache>
            </c:strRef>
          </c:tx>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c:spPr>
          <c:invertIfNegative val="0"/>
          <c:dLbls>
            <c:dLbl>
              <c:idx val="0"/>
              <c:layout/>
              <c:tx>
                <c:rich>
                  <a:bodyPr/>
                  <a:lstStyle/>
                  <a:p>
                    <a:r>
                      <a:rPr lang="en-US"/>
                      <a:t>0,35</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11D-4E60-A0CF-E10A1449BD2A}"/>
                </c:ext>
              </c:extLst>
            </c:dLbl>
            <c:dLbl>
              <c:idx val="1"/>
              <c:layout/>
              <c:tx>
                <c:rich>
                  <a:bodyPr/>
                  <a:lstStyle/>
                  <a:p>
                    <a:r>
                      <a:rPr lang="en-US"/>
                      <a:t>0,36</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11D-4E60-A0CF-E10A1449BD2A}"/>
                </c:ext>
              </c:extLst>
            </c:dLbl>
            <c:dLbl>
              <c:idx val="2"/>
              <c:layout/>
              <c:tx>
                <c:rich>
                  <a:bodyPr/>
                  <a:lstStyle/>
                  <a:p>
                    <a:r>
                      <a:rPr lang="en-US"/>
                      <a:t>0,49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11D-4E60-A0CF-E10A1449BD2A}"/>
                </c:ext>
              </c:extLst>
            </c:dLbl>
            <c:spPr>
              <a:noFill/>
              <a:ln>
                <a:noFill/>
              </a:ln>
              <a:effectLst/>
            </c:spPr>
            <c:txPr>
              <a:bodyPr/>
              <a:lstStyle/>
              <a:p>
                <a:pPr>
                  <a:defRPr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Карбоксиметил крохмаль натрію</c:v>
                </c:pt>
                <c:pt idx="1">
                  <c:v>Крохмаль гліколят натрію</c:v>
                </c:pt>
                <c:pt idx="2">
                  <c:v>Крохмаль прежелатинізований</c:v>
                </c:pt>
              </c:strCache>
            </c:strRef>
          </c:cat>
          <c:val>
            <c:numRef>
              <c:f>Лист1!$B$2:$B$4</c:f>
              <c:numCache>
                <c:formatCode>General</c:formatCode>
                <c:ptCount val="3"/>
                <c:pt idx="0">
                  <c:v>0.34499999999999997</c:v>
                </c:pt>
                <c:pt idx="1">
                  <c:v>0.36233300000000002</c:v>
                </c:pt>
                <c:pt idx="2">
                  <c:v>0.48066700000000001</c:v>
                </c:pt>
              </c:numCache>
            </c:numRef>
          </c:val>
          <c:extLst>
            <c:ext xmlns:c16="http://schemas.microsoft.com/office/drawing/2014/chart" uri="{C3380CC4-5D6E-409C-BE32-E72D297353CC}">
              <c16:uniqueId val="{00000003-811D-4E60-A0CF-E10A1449BD2A}"/>
            </c:ext>
          </c:extLst>
        </c:ser>
        <c:dLbls>
          <c:showLegendKey val="0"/>
          <c:showVal val="0"/>
          <c:showCatName val="0"/>
          <c:showSerName val="0"/>
          <c:showPercent val="0"/>
          <c:showBubbleSize val="0"/>
        </c:dLbls>
        <c:gapWidth val="150"/>
        <c:axId val="476033024"/>
        <c:axId val="476034560"/>
      </c:barChart>
      <c:catAx>
        <c:axId val="476033024"/>
        <c:scaling>
          <c:orientation val="minMax"/>
        </c:scaling>
        <c:delete val="0"/>
        <c:axPos val="b"/>
        <c:numFmt formatCode="General" sourceLinked="0"/>
        <c:majorTickMark val="out"/>
        <c:minorTickMark val="none"/>
        <c:tickLblPos val="nextTo"/>
        <c:crossAx val="476034560"/>
        <c:crosses val="autoZero"/>
        <c:auto val="1"/>
        <c:lblAlgn val="ctr"/>
        <c:lblOffset val="100"/>
        <c:noMultiLvlLbl val="0"/>
      </c:catAx>
      <c:valAx>
        <c:axId val="476034560"/>
        <c:scaling>
          <c:orientation val="minMax"/>
        </c:scaling>
        <c:delete val="0"/>
        <c:axPos val="l"/>
        <c:majorGridlines/>
        <c:title>
          <c:tx>
            <c:rich>
              <a:bodyPr rot="0" vert="horz"/>
              <a:lstStyle/>
              <a:p>
                <a:pPr>
                  <a:defRPr/>
                </a:pPr>
                <a:r>
                  <a:rPr lang="ru-RU"/>
                  <a:t>г/мл</a:t>
                </a:r>
              </a:p>
            </c:rich>
          </c:tx>
          <c:layout>
            <c:manualLayout>
              <c:xMode val="edge"/>
              <c:yMode val="edge"/>
              <c:x val="1.6203703703703703E-2"/>
              <c:y val="3.5277064051204128E-2"/>
            </c:manualLayout>
          </c:layout>
          <c:overlay val="0"/>
        </c:title>
        <c:numFmt formatCode="General" sourceLinked="1"/>
        <c:majorTickMark val="out"/>
        <c:minorTickMark val="none"/>
        <c:tickLblPos val="nextTo"/>
        <c:crossAx val="476033024"/>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Насипна густина після усадки г/мл</c:v>
                </c:pt>
              </c:strCache>
            </c:strRef>
          </c:tx>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c:spPr>
          <c:invertIfNegative val="0"/>
          <c:dLbls>
            <c:dLbl>
              <c:idx val="1"/>
              <c:layout/>
              <c:tx>
                <c:rich>
                  <a:bodyPr/>
                  <a:lstStyle/>
                  <a:p>
                    <a:r>
                      <a:rPr lang="en-US"/>
                      <a:t>0,39</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49BD-4440-9FB6-B79E1C272E09}"/>
                </c:ext>
              </c:extLst>
            </c:dLbl>
            <c:dLbl>
              <c:idx val="2"/>
              <c:layout/>
              <c:tx>
                <c:rich>
                  <a:bodyPr/>
                  <a:lstStyle/>
                  <a:p>
                    <a:r>
                      <a:rPr lang="en-US"/>
                      <a:t>0,52</a:t>
                    </a:r>
                  </a:p>
                </c:rich>
              </c:tx>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49BD-4440-9FB6-B79E1C272E09}"/>
                </c:ext>
              </c:extLst>
            </c:dLbl>
            <c:spPr>
              <a:noFill/>
              <a:ln>
                <a:noFill/>
              </a:ln>
              <a:effectLst/>
            </c:spPr>
            <c:txPr>
              <a:bodyPr/>
              <a:lstStyle/>
              <a:p>
                <a:pPr>
                  <a:defRPr b="1"/>
                </a:pPr>
                <a:endParaRPr lang="uk-UA"/>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Карбоксиметил крохмаль натрію</c:v>
                </c:pt>
                <c:pt idx="1">
                  <c:v>Крохмаль гліколят натрію</c:v>
                </c:pt>
                <c:pt idx="2">
                  <c:v>Крохмаль прежелатинізований</c:v>
                </c:pt>
              </c:strCache>
            </c:strRef>
          </c:cat>
          <c:val>
            <c:numRef>
              <c:f>Лист1!$B$2:$B$4</c:f>
              <c:numCache>
                <c:formatCode>General</c:formatCode>
                <c:ptCount val="3"/>
                <c:pt idx="0">
                  <c:v>0.37</c:v>
                </c:pt>
                <c:pt idx="1">
                  <c:v>0.38933299999999998</c:v>
                </c:pt>
                <c:pt idx="2">
                  <c:v>0.52200000000000002</c:v>
                </c:pt>
              </c:numCache>
            </c:numRef>
          </c:val>
          <c:extLst>
            <c:ext xmlns:c16="http://schemas.microsoft.com/office/drawing/2014/chart" uri="{C3380CC4-5D6E-409C-BE32-E72D297353CC}">
              <c16:uniqueId val="{00000002-49BD-4440-9FB6-B79E1C272E09}"/>
            </c:ext>
          </c:extLst>
        </c:ser>
        <c:dLbls>
          <c:showLegendKey val="0"/>
          <c:showVal val="0"/>
          <c:showCatName val="0"/>
          <c:showSerName val="0"/>
          <c:showPercent val="0"/>
          <c:showBubbleSize val="0"/>
        </c:dLbls>
        <c:gapWidth val="150"/>
        <c:axId val="478567040"/>
        <c:axId val="478589312"/>
      </c:barChart>
      <c:catAx>
        <c:axId val="478567040"/>
        <c:scaling>
          <c:orientation val="minMax"/>
        </c:scaling>
        <c:delete val="0"/>
        <c:axPos val="b"/>
        <c:numFmt formatCode="General" sourceLinked="0"/>
        <c:majorTickMark val="out"/>
        <c:minorTickMark val="none"/>
        <c:tickLblPos val="nextTo"/>
        <c:crossAx val="478589312"/>
        <c:crosses val="autoZero"/>
        <c:auto val="1"/>
        <c:lblAlgn val="ctr"/>
        <c:lblOffset val="100"/>
        <c:noMultiLvlLbl val="0"/>
      </c:catAx>
      <c:valAx>
        <c:axId val="478589312"/>
        <c:scaling>
          <c:orientation val="minMax"/>
        </c:scaling>
        <c:delete val="0"/>
        <c:axPos val="l"/>
        <c:majorGridlines/>
        <c:title>
          <c:tx>
            <c:rich>
              <a:bodyPr rot="0" vert="horz"/>
              <a:lstStyle/>
              <a:p>
                <a:pPr>
                  <a:defRPr/>
                </a:pPr>
                <a:r>
                  <a:rPr lang="ru-RU"/>
                  <a:t>г/мл</a:t>
                </a:r>
              </a:p>
            </c:rich>
          </c:tx>
          <c:layout>
            <c:manualLayout>
              <c:xMode val="edge"/>
              <c:yMode val="edge"/>
              <c:x val="0"/>
              <c:y val="2.3047431571053642E-2"/>
            </c:manualLayout>
          </c:layout>
          <c:overlay val="0"/>
        </c:title>
        <c:numFmt formatCode="General" sourceLinked="1"/>
        <c:majorTickMark val="out"/>
        <c:minorTickMark val="none"/>
        <c:tickLblPos val="nextTo"/>
        <c:crossAx val="478567040"/>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Ряд 1</c:v>
                </c:pt>
              </c:strCache>
            </c:strRef>
          </c:tx>
          <c:spPr>
            <a:gradFill flip="none" rotWithShape="1">
              <a:gsLst>
                <a:gs pos="0">
                  <a:srgbClr val="FB97E8">
                    <a:tint val="66000"/>
                    <a:satMod val="160000"/>
                  </a:srgbClr>
                </a:gs>
                <a:gs pos="50000">
                  <a:srgbClr val="FB97E8">
                    <a:tint val="44500"/>
                    <a:satMod val="160000"/>
                  </a:srgbClr>
                </a:gs>
                <a:gs pos="100000">
                  <a:srgbClr val="FB97E8">
                    <a:tint val="23500"/>
                    <a:satMod val="160000"/>
                  </a:srgbClr>
                </a:gs>
              </a:gsLst>
              <a:lin ang="5400000" scaled="1"/>
              <a:tileRect/>
            </a:gradFill>
            <a:effectLst/>
          </c:spPr>
          <c:invertIfNegative val="0"/>
          <c:dLbls>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1.47</c:v>
                </c:pt>
                <c:pt idx="1">
                  <c:v>1.57</c:v>
                </c:pt>
                <c:pt idx="2">
                  <c:v>3.64</c:v>
                </c:pt>
              </c:numCache>
            </c:numRef>
          </c:val>
          <c:extLst>
            <c:ext xmlns:c16="http://schemas.microsoft.com/office/drawing/2014/chart" uri="{C3380CC4-5D6E-409C-BE32-E72D297353CC}">
              <c16:uniqueId val="{00000000-9F3E-4561-A8F8-731BE478F127}"/>
            </c:ext>
          </c:extLst>
        </c:ser>
        <c:dLbls>
          <c:dLblPos val="outEnd"/>
          <c:showLegendKey val="0"/>
          <c:showVal val="1"/>
          <c:showCatName val="0"/>
          <c:showSerName val="0"/>
          <c:showPercent val="0"/>
          <c:showBubbleSize val="0"/>
        </c:dLbls>
        <c:gapWidth val="150"/>
        <c:axId val="483241344"/>
        <c:axId val="483264768"/>
      </c:barChart>
      <c:catAx>
        <c:axId val="483241344"/>
        <c:scaling>
          <c:orientation val="minMax"/>
        </c:scaling>
        <c:delete val="0"/>
        <c:axPos val="b"/>
        <c:numFmt formatCode="General" sourceLinked="0"/>
        <c:majorTickMark val="out"/>
        <c:minorTickMark val="none"/>
        <c:tickLblPos val="nextTo"/>
        <c:crossAx val="483264768"/>
        <c:crosses val="autoZero"/>
        <c:auto val="1"/>
        <c:lblAlgn val="ctr"/>
        <c:lblOffset val="100"/>
        <c:noMultiLvlLbl val="0"/>
      </c:catAx>
      <c:valAx>
        <c:axId val="483264768"/>
        <c:scaling>
          <c:orientation val="minMax"/>
        </c:scaling>
        <c:delete val="0"/>
        <c:axPos val="l"/>
        <c:majorGridlines>
          <c:spPr>
            <a:effectLst>
              <a:innerShdw blurRad="63500" dist="50800" dir="16200000">
                <a:prstClr val="black">
                  <a:alpha val="50000"/>
                </a:prstClr>
              </a:innerShdw>
            </a:effectLst>
          </c:spPr>
        </c:majorGridlines>
        <c:numFmt formatCode="General" sourceLinked="1"/>
        <c:majorTickMark val="out"/>
        <c:minorTickMark val="none"/>
        <c:tickLblPos val="nextTo"/>
        <c:crossAx val="483241344"/>
        <c:crosses val="autoZero"/>
        <c:crossBetween val="between"/>
      </c:valAx>
      <c:spPr>
        <a:effectLst/>
      </c:spPr>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Розпадання гранул</c:v>
                </c:pt>
              </c:strCache>
            </c:strRef>
          </c:tx>
          <c:spPr>
            <a:gradFill flip="none" rotWithShape="1">
              <a:gsLst>
                <a:gs pos="0">
                  <a:srgbClr val="7030A0">
                    <a:tint val="66000"/>
                    <a:satMod val="160000"/>
                  </a:srgbClr>
                </a:gs>
                <a:gs pos="50000">
                  <a:srgbClr val="7030A0">
                    <a:tint val="44500"/>
                    <a:satMod val="160000"/>
                  </a:srgbClr>
                </a:gs>
                <a:gs pos="100000">
                  <a:srgbClr val="7030A0">
                    <a:tint val="23500"/>
                    <a:satMod val="160000"/>
                  </a:srgbClr>
                </a:gs>
              </a:gsLst>
              <a:lin ang="5400000" scaled="1"/>
              <a:tileRect/>
            </a:gradFill>
          </c:spPr>
          <c:invertIfNegative val="0"/>
          <c:dLbls>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Просолв 90</c:v>
                </c:pt>
                <c:pt idx="1">
                  <c:v>Неуселін US 2</c:v>
                </c:pt>
                <c:pt idx="2">
                  <c:v>Аеросил</c:v>
                </c:pt>
              </c:strCache>
            </c:strRef>
          </c:cat>
          <c:val>
            <c:numRef>
              <c:f>Лист1!$B$2:$B$4</c:f>
              <c:numCache>
                <c:formatCode>General</c:formatCode>
                <c:ptCount val="3"/>
                <c:pt idx="0">
                  <c:v>77.47</c:v>
                </c:pt>
                <c:pt idx="1">
                  <c:v>17.3</c:v>
                </c:pt>
                <c:pt idx="2">
                  <c:v>40.21</c:v>
                </c:pt>
              </c:numCache>
            </c:numRef>
          </c:val>
          <c:extLst>
            <c:ext xmlns:c16="http://schemas.microsoft.com/office/drawing/2014/chart" uri="{C3380CC4-5D6E-409C-BE32-E72D297353CC}">
              <c16:uniqueId val="{00000000-C752-4DDE-BF12-DA879B0D9012}"/>
            </c:ext>
          </c:extLst>
        </c:ser>
        <c:dLbls>
          <c:showLegendKey val="0"/>
          <c:showVal val="0"/>
          <c:showCatName val="0"/>
          <c:showSerName val="0"/>
          <c:showPercent val="0"/>
          <c:showBubbleSize val="0"/>
        </c:dLbls>
        <c:gapWidth val="75"/>
        <c:overlap val="-25"/>
        <c:axId val="483309824"/>
        <c:axId val="483311616"/>
      </c:barChart>
      <c:catAx>
        <c:axId val="483309824"/>
        <c:scaling>
          <c:orientation val="minMax"/>
        </c:scaling>
        <c:delete val="0"/>
        <c:axPos val="b"/>
        <c:numFmt formatCode="General" sourceLinked="0"/>
        <c:majorTickMark val="none"/>
        <c:minorTickMark val="none"/>
        <c:tickLblPos val="nextTo"/>
        <c:crossAx val="483311616"/>
        <c:crosses val="autoZero"/>
        <c:auto val="1"/>
        <c:lblAlgn val="ctr"/>
        <c:lblOffset val="100"/>
        <c:noMultiLvlLbl val="0"/>
      </c:catAx>
      <c:valAx>
        <c:axId val="483311616"/>
        <c:scaling>
          <c:orientation val="minMax"/>
        </c:scaling>
        <c:delete val="0"/>
        <c:axPos val="l"/>
        <c:majorGridlines/>
        <c:title>
          <c:tx>
            <c:rich>
              <a:bodyPr rot="0" vert="horz"/>
              <a:lstStyle/>
              <a:p>
                <a:pPr>
                  <a:defRPr/>
                </a:pPr>
                <a:r>
                  <a:rPr lang="ru-RU"/>
                  <a:t>с</a:t>
                </a:r>
              </a:p>
            </c:rich>
          </c:tx>
          <c:layout>
            <c:manualLayout>
              <c:xMode val="edge"/>
              <c:yMode val="edge"/>
              <c:x val="1.974288391456306E-2"/>
              <c:y val="2.2733304170312045E-2"/>
            </c:manualLayout>
          </c:layout>
          <c:overlay val="0"/>
        </c:title>
        <c:numFmt formatCode="General" sourceLinked="1"/>
        <c:majorTickMark val="none"/>
        <c:minorTickMark val="none"/>
        <c:tickLblPos val="nextTo"/>
        <c:spPr>
          <a:ln w="9525">
            <a:noFill/>
          </a:ln>
        </c:spPr>
        <c:crossAx val="483309824"/>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Розпадання гранул</c:v>
                </c:pt>
              </c:strCache>
            </c:strRef>
          </c:tx>
          <c:spPr>
            <a:gradFill flip="none" rotWithShape="1">
              <a:gsLst>
                <a:gs pos="0">
                  <a:srgbClr val="C00000">
                    <a:tint val="66000"/>
                    <a:satMod val="160000"/>
                  </a:srgbClr>
                </a:gs>
                <a:gs pos="50000">
                  <a:srgbClr val="C00000">
                    <a:tint val="44500"/>
                    <a:satMod val="160000"/>
                  </a:srgbClr>
                </a:gs>
                <a:gs pos="100000">
                  <a:srgbClr val="C00000">
                    <a:tint val="23500"/>
                    <a:satMod val="160000"/>
                  </a:srgbClr>
                </a:gs>
              </a:gsLst>
              <a:lin ang="5400000" scaled="1"/>
              <a:tileRect/>
            </a:gradFill>
          </c:spPr>
          <c:invertIfNegative val="0"/>
          <c:dLbls>
            <c:dLbl>
              <c:idx val="0"/>
              <c:layout>
                <c:manualLayout>
                  <c:x val="0"/>
                  <c:y val="0"/>
                </c:manualLayout>
              </c:layout>
              <c:tx>
                <c:rich>
                  <a:bodyPr/>
                  <a:lstStyle/>
                  <a:p>
                    <a:r>
                      <a:rPr lang="en-US"/>
                      <a:t>70,84</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B61C-4EA9-9E55-ACFC60300F37}"/>
                </c:ext>
              </c:extLst>
            </c:dLbl>
            <c:dLbl>
              <c:idx val="2"/>
              <c:layout/>
              <c:tx>
                <c:rich>
                  <a:bodyPr/>
                  <a:lstStyle/>
                  <a:p>
                    <a:r>
                      <a:rPr lang="en-US"/>
                      <a:t>11,90</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B61C-4EA9-9E55-ACFC60300F37}"/>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70.843329999999995</c:v>
                </c:pt>
                <c:pt idx="1">
                  <c:v>52.23</c:v>
                </c:pt>
                <c:pt idx="2">
                  <c:v>11.90333</c:v>
                </c:pt>
              </c:numCache>
            </c:numRef>
          </c:val>
          <c:extLst>
            <c:ext xmlns:c16="http://schemas.microsoft.com/office/drawing/2014/chart" uri="{C3380CC4-5D6E-409C-BE32-E72D297353CC}">
              <c16:uniqueId val="{00000002-B61C-4EA9-9E55-ACFC60300F37}"/>
            </c:ext>
          </c:extLst>
        </c:ser>
        <c:dLbls>
          <c:dLblPos val="outEnd"/>
          <c:showLegendKey val="0"/>
          <c:showVal val="1"/>
          <c:showCatName val="0"/>
          <c:showSerName val="0"/>
          <c:showPercent val="0"/>
          <c:showBubbleSize val="0"/>
        </c:dLbls>
        <c:gapWidth val="150"/>
        <c:axId val="417447936"/>
        <c:axId val="417450624"/>
      </c:barChart>
      <c:catAx>
        <c:axId val="417447936"/>
        <c:scaling>
          <c:orientation val="minMax"/>
        </c:scaling>
        <c:delete val="0"/>
        <c:axPos val="b"/>
        <c:numFmt formatCode="General" sourceLinked="0"/>
        <c:majorTickMark val="out"/>
        <c:minorTickMark val="none"/>
        <c:tickLblPos val="nextTo"/>
        <c:crossAx val="417450624"/>
        <c:crosses val="autoZero"/>
        <c:auto val="1"/>
        <c:lblAlgn val="ctr"/>
        <c:lblOffset val="100"/>
        <c:noMultiLvlLbl val="0"/>
      </c:catAx>
      <c:valAx>
        <c:axId val="417450624"/>
        <c:scaling>
          <c:orientation val="minMax"/>
        </c:scaling>
        <c:delete val="0"/>
        <c:axPos val="l"/>
        <c:majorGridlines/>
        <c:title>
          <c:tx>
            <c:rich>
              <a:bodyPr rot="0" vert="horz"/>
              <a:lstStyle/>
              <a:p>
                <a:pPr>
                  <a:defRPr/>
                </a:pPr>
                <a:r>
                  <a:rPr lang="ru-RU"/>
                  <a:t>с</a:t>
                </a:r>
              </a:p>
            </c:rich>
          </c:tx>
          <c:layout>
            <c:manualLayout>
              <c:xMode val="edge"/>
              <c:yMode val="edge"/>
              <c:x val="1.1574074074074073E-2"/>
              <c:y val="3.1390451193600774E-2"/>
            </c:manualLayout>
          </c:layout>
          <c:overlay val="0"/>
        </c:title>
        <c:numFmt formatCode="General" sourceLinked="1"/>
        <c:majorTickMark val="out"/>
        <c:minorTickMark val="none"/>
        <c:tickLblPos val="nextTo"/>
        <c:crossAx val="417447936"/>
        <c:crosses val="autoZero"/>
        <c:crossBetween val="between"/>
      </c:valAx>
    </c:plotArea>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Розпадання гранул</c:v>
                </c:pt>
              </c:strCache>
            </c:strRef>
          </c:tx>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c:spPr>
          <c:invertIfNegative val="0"/>
          <c:dLbls>
            <c:dLbl>
              <c:idx val="1"/>
              <c:layout/>
              <c:tx>
                <c:rich>
                  <a:bodyPr/>
                  <a:lstStyle/>
                  <a:p>
                    <a:r>
                      <a:rPr lang="en-US"/>
                      <a:t>17,19</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D9E5-4B18-80B9-FB9A1E28EAAD}"/>
                </c:ext>
              </c:extLst>
            </c:dLbl>
            <c:dLbl>
              <c:idx val="2"/>
              <c:layout/>
              <c:tx>
                <c:rich>
                  <a:bodyPr/>
                  <a:lstStyle/>
                  <a:p>
                    <a:r>
                      <a:rPr lang="en-US"/>
                      <a:t>75,10</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D9E5-4B18-80B9-FB9A1E28EAAD}"/>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Карбоксиметил крохмаль натрію</c:v>
                </c:pt>
                <c:pt idx="1">
                  <c:v>Крохмаль гліколят натрію</c:v>
                </c:pt>
                <c:pt idx="2">
                  <c:v>Крохмаль прежелатинізований</c:v>
                </c:pt>
              </c:strCache>
            </c:strRef>
          </c:cat>
          <c:val>
            <c:numRef>
              <c:f>Лист1!$B$2:$B$4</c:f>
              <c:numCache>
                <c:formatCode>General</c:formatCode>
                <c:ptCount val="3"/>
                <c:pt idx="0">
                  <c:v>42.69</c:v>
                </c:pt>
                <c:pt idx="1">
                  <c:v>17.186669999999999</c:v>
                </c:pt>
                <c:pt idx="2">
                  <c:v>75.099999999999994</c:v>
                </c:pt>
              </c:numCache>
            </c:numRef>
          </c:val>
          <c:extLst>
            <c:ext xmlns:c16="http://schemas.microsoft.com/office/drawing/2014/chart" uri="{C3380CC4-5D6E-409C-BE32-E72D297353CC}">
              <c16:uniqueId val="{00000002-D9E5-4B18-80B9-FB9A1E28EAAD}"/>
            </c:ext>
          </c:extLst>
        </c:ser>
        <c:dLbls>
          <c:dLblPos val="outEnd"/>
          <c:showLegendKey val="0"/>
          <c:showVal val="1"/>
          <c:showCatName val="0"/>
          <c:showSerName val="0"/>
          <c:showPercent val="0"/>
          <c:showBubbleSize val="0"/>
        </c:dLbls>
        <c:gapWidth val="150"/>
        <c:axId val="483805824"/>
        <c:axId val="483812864"/>
      </c:barChart>
      <c:catAx>
        <c:axId val="483805824"/>
        <c:scaling>
          <c:orientation val="minMax"/>
        </c:scaling>
        <c:delete val="0"/>
        <c:axPos val="b"/>
        <c:numFmt formatCode="General" sourceLinked="0"/>
        <c:majorTickMark val="out"/>
        <c:minorTickMark val="none"/>
        <c:tickLblPos val="nextTo"/>
        <c:crossAx val="483812864"/>
        <c:crosses val="autoZero"/>
        <c:auto val="1"/>
        <c:lblAlgn val="ctr"/>
        <c:lblOffset val="100"/>
        <c:noMultiLvlLbl val="0"/>
      </c:catAx>
      <c:valAx>
        <c:axId val="483812864"/>
        <c:scaling>
          <c:orientation val="minMax"/>
        </c:scaling>
        <c:delete val="0"/>
        <c:axPos val="l"/>
        <c:majorGridlines/>
        <c:title>
          <c:tx>
            <c:rich>
              <a:bodyPr rot="0" vert="horz"/>
              <a:lstStyle/>
              <a:p>
                <a:pPr>
                  <a:defRPr/>
                </a:pPr>
                <a:r>
                  <a:rPr lang="ru-RU"/>
                  <a:t>с</a:t>
                </a:r>
              </a:p>
            </c:rich>
          </c:tx>
          <c:layout>
            <c:manualLayout>
              <c:xMode val="edge"/>
              <c:yMode val="edge"/>
              <c:x val="1.3888888888888888E-2"/>
              <c:y val="3.0983939507561554E-2"/>
            </c:manualLayout>
          </c:layout>
          <c:overlay val="0"/>
        </c:title>
        <c:numFmt formatCode="General" sourceLinked="1"/>
        <c:majorTickMark val="out"/>
        <c:minorTickMark val="none"/>
        <c:tickLblPos val="nextTo"/>
        <c:crossAx val="483805824"/>
        <c:crosses val="autoZero"/>
        <c:crossBetween val="between"/>
      </c:valAx>
    </c:plotArea>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Функція бажаності</c:v>
                </c:pt>
              </c:strCache>
            </c:strRef>
          </c:tx>
          <c:spPr>
            <a:gradFill flip="none" rotWithShape="1">
              <a:gsLst>
                <a:gs pos="0">
                  <a:srgbClr val="C00000">
                    <a:tint val="66000"/>
                    <a:satMod val="160000"/>
                  </a:srgbClr>
                </a:gs>
                <a:gs pos="50000">
                  <a:srgbClr val="C00000">
                    <a:tint val="44500"/>
                    <a:satMod val="160000"/>
                  </a:srgbClr>
                </a:gs>
                <a:gs pos="100000">
                  <a:srgbClr val="C00000">
                    <a:tint val="23500"/>
                    <a:satMod val="160000"/>
                  </a:srgbClr>
                </a:gs>
              </a:gsLst>
              <a:lin ang="5400000" scaled="1"/>
              <a:tileRect/>
            </a:gradFill>
          </c:spPr>
          <c:invertIfNegative val="0"/>
          <c:dLbls>
            <c:dLbl>
              <c:idx val="0"/>
              <c:layout/>
              <c:tx>
                <c:rich>
                  <a:bodyPr/>
                  <a:lstStyle/>
                  <a:p>
                    <a:r>
                      <a:rPr lang="en-US"/>
                      <a:t>0,73</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2476-4DED-89B9-602652181ED3}"/>
                </c:ext>
              </c:extLst>
            </c:dLbl>
            <c:dLbl>
              <c:idx val="1"/>
              <c:layout/>
              <c:tx>
                <c:rich>
                  <a:bodyPr/>
                  <a:lstStyle/>
                  <a:p>
                    <a:r>
                      <a:rPr lang="en-US"/>
                      <a:t>0,41</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476-4DED-89B9-602652181ED3}"/>
                </c:ext>
              </c:extLst>
            </c:dLbl>
            <c:dLbl>
              <c:idx val="2"/>
              <c:layout/>
              <c:tx>
                <c:rich>
                  <a:bodyPr/>
                  <a:lstStyle/>
                  <a:p>
                    <a:r>
                      <a:rPr lang="en-US"/>
                      <a:t>0,44</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2476-4DED-89B9-602652181ED3}"/>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0.73333300000000001</c:v>
                </c:pt>
                <c:pt idx="1">
                  <c:v>0.406667</c:v>
                </c:pt>
                <c:pt idx="2">
                  <c:v>0.44333299999999998</c:v>
                </c:pt>
              </c:numCache>
            </c:numRef>
          </c:val>
          <c:extLst>
            <c:ext xmlns:c16="http://schemas.microsoft.com/office/drawing/2014/chart" uri="{C3380CC4-5D6E-409C-BE32-E72D297353CC}">
              <c16:uniqueId val="{00000003-2476-4DED-89B9-602652181ED3}"/>
            </c:ext>
          </c:extLst>
        </c:ser>
        <c:dLbls>
          <c:dLblPos val="outEnd"/>
          <c:showLegendKey val="0"/>
          <c:showVal val="1"/>
          <c:showCatName val="0"/>
          <c:showSerName val="0"/>
          <c:showPercent val="0"/>
          <c:showBubbleSize val="0"/>
        </c:dLbls>
        <c:gapWidth val="150"/>
        <c:axId val="483211136"/>
        <c:axId val="483349248"/>
      </c:barChart>
      <c:catAx>
        <c:axId val="483211136"/>
        <c:scaling>
          <c:orientation val="minMax"/>
        </c:scaling>
        <c:delete val="0"/>
        <c:axPos val="b"/>
        <c:numFmt formatCode="General" sourceLinked="0"/>
        <c:majorTickMark val="out"/>
        <c:minorTickMark val="none"/>
        <c:tickLblPos val="nextTo"/>
        <c:crossAx val="483349248"/>
        <c:crosses val="autoZero"/>
        <c:auto val="1"/>
        <c:lblAlgn val="ctr"/>
        <c:lblOffset val="100"/>
        <c:noMultiLvlLbl val="0"/>
      </c:catAx>
      <c:valAx>
        <c:axId val="483349248"/>
        <c:scaling>
          <c:orientation val="minMax"/>
        </c:scaling>
        <c:delete val="0"/>
        <c:axPos val="l"/>
        <c:majorGridlines/>
        <c:numFmt formatCode="General" sourceLinked="1"/>
        <c:majorTickMark val="out"/>
        <c:minorTickMark val="none"/>
        <c:tickLblPos val="nextTo"/>
        <c:crossAx val="483211136"/>
        <c:crosses val="autoZero"/>
        <c:crossBetween val="between"/>
      </c:valAx>
    </c:plotArea>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Функція бажаності</c:v>
                </c:pt>
              </c:strCache>
            </c:strRef>
          </c:tx>
          <c:spPr>
            <a:gradFill flip="none" rotWithShape="1">
              <a:gsLst>
                <a:gs pos="0">
                  <a:schemeClr val="accent1">
                    <a:tint val="66000"/>
                    <a:satMod val="160000"/>
                  </a:schemeClr>
                </a:gs>
                <a:gs pos="50000">
                  <a:schemeClr val="accent1">
                    <a:tint val="44500"/>
                    <a:satMod val="160000"/>
                  </a:schemeClr>
                </a:gs>
                <a:gs pos="100000">
                  <a:schemeClr val="accent1">
                    <a:tint val="23500"/>
                    <a:satMod val="160000"/>
                  </a:schemeClr>
                </a:gs>
              </a:gsLst>
              <a:lin ang="5400000" scaled="1"/>
              <a:tileRect/>
            </a:gradFill>
          </c:spPr>
          <c:invertIfNegative val="0"/>
          <c:dLbls>
            <c:dLbl>
              <c:idx val="0"/>
              <c:layout/>
              <c:tx>
                <c:rich>
                  <a:bodyPr/>
                  <a:lstStyle/>
                  <a:p>
                    <a:r>
                      <a:rPr lang="en-US"/>
                      <a:t>0,52</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AB77-40B3-87F4-E864BD54CCA8}"/>
                </c:ext>
              </c:extLst>
            </c:dLbl>
            <c:dLbl>
              <c:idx val="2"/>
              <c:layout/>
              <c:tx>
                <c:rich>
                  <a:bodyPr/>
                  <a:lstStyle/>
                  <a:p>
                    <a:r>
                      <a:rPr lang="en-US"/>
                      <a:t>0,66</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AB77-40B3-87F4-E864BD54CCA8}"/>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Карбоксиметил крохмаль натрію</c:v>
                </c:pt>
                <c:pt idx="1">
                  <c:v>Крохмаль гліколят натрію</c:v>
                </c:pt>
                <c:pt idx="2">
                  <c:v>Крохмаль преджелатинізований</c:v>
                </c:pt>
              </c:strCache>
            </c:strRef>
          </c:cat>
          <c:val>
            <c:numRef>
              <c:f>Лист1!$B$2:$B$4</c:f>
              <c:numCache>
                <c:formatCode>General</c:formatCode>
                <c:ptCount val="3"/>
                <c:pt idx="0">
                  <c:v>0.51666699999999999</c:v>
                </c:pt>
                <c:pt idx="1">
                  <c:v>0.41</c:v>
                </c:pt>
                <c:pt idx="2">
                  <c:v>0.656667</c:v>
                </c:pt>
              </c:numCache>
            </c:numRef>
          </c:val>
          <c:extLst>
            <c:ext xmlns:c16="http://schemas.microsoft.com/office/drawing/2014/chart" uri="{C3380CC4-5D6E-409C-BE32-E72D297353CC}">
              <c16:uniqueId val="{00000002-AB77-40B3-87F4-E864BD54CCA8}"/>
            </c:ext>
          </c:extLst>
        </c:ser>
        <c:dLbls>
          <c:dLblPos val="outEnd"/>
          <c:showLegendKey val="0"/>
          <c:showVal val="1"/>
          <c:showCatName val="0"/>
          <c:showSerName val="0"/>
          <c:showPercent val="0"/>
          <c:showBubbleSize val="0"/>
        </c:dLbls>
        <c:gapWidth val="150"/>
        <c:axId val="483979648"/>
        <c:axId val="483982336"/>
      </c:barChart>
      <c:catAx>
        <c:axId val="483979648"/>
        <c:scaling>
          <c:orientation val="minMax"/>
        </c:scaling>
        <c:delete val="0"/>
        <c:axPos val="b"/>
        <c:numFmt formatCode="General" sourceLinked="0"/>
        <c:majorTickMark val="out"/>
        <c:minorTickMark val="none"/>
        <c:tickLblPos val="nextTo"/>
        <c:crossAx val="483982336"/>
        <c:crosses val="autoZero"/>
        <c:auto val="1"/>
        <c:lblAlgn val="ctr"/>
        <c:lblOffset val="100"/>
        <c:noMultiLvlLbl val="0"/>
      </c:catAx>
      <c:valAx>
        <c:axId val="483982336"/>
        <c:scaling>
          <c:orientation val="minMax"/>
        </c:scaling>
        <c:delete val="0"/>
        <c:axPos val="l"/>
        <c:majorGridlines/>
        <c:numFmt formatCode="General" sourceLinked="1"/>
        <c:majorTickMark val="out"/>
        <c:minorTickMark val="none"/>
        <c:tickLblPos val="nextTo"/>
        <c:crossAx val="483979648"/>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75"/>
      <c:rotY val="0"/>
      <c:rAngAx val="0"/>
    </c:view3D>
    <c:floor>
      <c:thickness val="0"/>
    </c:floor>
    <c:sideWall>
      <c:thickness val="0"/>
    </c:sideWall>
    <c:backWall>
      <c:thickness val="0"/>
    </c:backWall>
    <c:plotArea>
      <c:layout/>
      <c:pie3DChart>
        <c:varyColors val="1"/>
        <c:ser>
          <c:idx val="0"/>
          <c:order val="0"/>
          <c:tx>
            <c:strRef>
              <c:f>Лист1!$B$1</c:f>
              <c:strCache>
                <c:ptCount val="1"/>
                <c:pt idx="0">
                  <c:v>   </c:v>
                </c:pt>
              </c:strCache>
            </c:strRef>
          </c:tx>
          <c:dLbls>
            <c:spPr>
              <a:noFill/>
              <a:ln>
                <a:noFill/>
              </a:ln>
              <a:effectLst/>
            </c:spPr>
            <c:txPr>
              <a:bodyPr/>
              <a:lstStyle/>
              <a:p>
                <a:pPr>
                  <a:defRPr sz="1200"/>
                </a:pPr>
                <a:endParaRPr lang="uk-UA"/>
              </a:p>
            </c:txPr>
            <c:dLblPos val="outEnd"/>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Лист1!$A$2:$A$8</c:f>
              <c:strCache>
                <c:ptCount val="7"/>
                <c:pt idx="0">
                  <c:v>Пакистан</c:v>
                </c:pt>
                <c:pt idx="1">
                  <c:v>Швейцарія</c:v>
                </c:pt>
                <c:pt idx="2">
                  <c:v>Болгарія</c:v>
                </c:pt>
                <c:pt idx="3">
                  <c:v>Німеччина</c:v>
                </c:pt>
                <c:pt idx="4">
                  <c:v>Польща</c:v>
                </c:pt>
                <c:pt idx="5">
                  <c:v>Франція</c:v>
                </c:pt>
                <c:pt idx="6">
                  <c:v>Австрія</c:v>
                </c:pt>
              </c:strCache>
            </c:strRef>
          </c:cat>
          <c:val>
            <c:numRef>
              <c:f>Лист1!$B$2:$B$8</c:f>
              <c:numCache>
                <c:formatCode>0.00%</c:formatCode>
                <c:ptCount val="7"/>
                <c:pt idx="0">
                  <c:v>0.182</c:v>
                </c:pt>
                <c:pt idx="1">
                  <c:v>9.0999999999999998E-2</c:v>
                </c:pt>
                <c:pt idx="2">
                  <c:v>0.182</c:v>
                </c:pt>
                <c:pt idx="3">
                  <c:v>0.182</c:v>
                </c:pt>
                <c:pt idx="4">
                  <c:v>9.0999999999999998E-2</c:v>
                </c:pt>
                <c:pt idx="5">
                  <c:v>0.182</c:v>
                </c:pt>
                <c:pt idx="6">
                  <c:v>9.0999999999999998E-2</c:v>
                </c:pt>
              </c:numCache>
            </c:numRef>
          </c:val>
          <c:extLst>
            <c:ext xmlns:c16="http://schemas.microsoft.com/office/drawing/2014/chart" uri="{C3380CC4-5D6E-409C-BE32-E72D297353CC}">
              <c16:uniqueId val="{00000000-2D32-48AA-BCC9-7DFD86D81982}"/>
            </c:ext>
          </c:extLst>
        </c:ser>
        <c:dLbls>
          <c:dLblPos val="outEnd"/>
          <c:showLegendKey val="0"/>
          <c:showVal val="1"/>
          <c:showCatName val="0"/>
          <c:showSerName val="0"/>
          <c:showPercent val="0"/>
          <c:showBubbleSize val="0"/>
          <c:showLeaderLines val="1"/>
        </c:dLbls>
      </c:pie3DChart>
    </c:plotArea>
    <c:legend>
      <c:legendPos val="b"/>
      <c:layout/>
      <c:overlay val="0"/>
      <c:txPr>
        <a:bodyPr/>
        <a:lstStyle/>
        <a:p>
          <a:pPr>
            <a:defRPr sz="1100"/>
          </a:pPr>
          <a:endParaRPr lang="uk-UA"/>
        </a:p>
      </c:txPr>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Функція бажаності</c:v>
                </c:pt>
              </c:strCache>
            </c:strRef>
          </c:tx>
          <c:spPr>
            <a:gradFill flip="none" rotWithShape="1">
              <a:gsLst>
                <a:gs pos="0">
                  <a:srgbClr val="7030A0">
                    <a:tint val="66000"/>
                    <a:satMod val="160000"/>
                  </a:srgbClr>
                </a:gs>
                <a:gs pos="50000">
                  <a:srgbClr val="7030A0">
                    <a:tint val="44500"/>
                    <a:satMod val="160000"/>
                  </a:srgbClr>
                </a:gs>
                <a:gs pos="100000">
                  <a:srgbClr val="7030A0">
                    <a:tint val="23500"/>
                    <a:satMod val="160000"/>
                  </a:srgbClr>
                </a:gs>
              </a:gsLst>
              <a:lin ang="5400000" scaled="1"/>
              <a:tileRect/>
            </a:gradFill>
          </c:spPr>
          <c:invertIfNegative val="0"/>
          <c:dLbls>
            <c:spPr>
              <a:noFill/>
              <a:ln>
                <a:noFill/>
              </a:ln>
              <a:effectLst/>
            </c:sp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Лист1!$A$2:$A$4</c:f>
              <c:strCache>
                <c:ptCount val="3"/>
                <c:pt idx="0">
                  <c:v>Просолв 90</c:v>
                </c:pt>
                <c:pt idx="1">
                  <c:v>Неуселін US 2</c:v>
                </c:pt>
                <c:pt idx="2">
                  <c:v>Аеросил </c:v>
                </c:pt>
              </c:strCache>
            </c:strRef>
          </c:cat>
          <c:val>
            <c:numRef>
              <c:f>Лист1!$B$2:$B$4</c:f>
              <c:numCache>
                <c:formatCode>General</c:formatCode>
                <c:ptCount val="3"/>
                <c:pt idx="0">
                  <c:v>0.33</c:v>
                </c:pt>
                <c:pt idx="1">
                  <c:v>0.71</c:v>
                </c:pt>
                <c:pt idx="2">
                  <c:v>0.54</c:v>
                </c:pt>
              </c:numCache>
            </c:numRef>
          </c:val>
          <c:extLst>
            <c:ext xmlns:c16="http://schemas.microsoft.com/office/drawing/2014/chart" uri="{C3380CC4-5D6E-409C-BE32-E72D297353CC}">
              <c16:uniqueId val="{00000000-BD13-44A6-B0C6-496313D6C770}"/>
            </c:ext>
          </c:extLst>
        </c:ser>
        <c:dLbls>
          <c:dLblPos val="outEnd"/>
          <c:showLegendKey val="0"/>
          <c:showVal val="1"/>
          <c:showCatName val="0"/>
          <c:showSerName val="0"/>
          <c:showPercent val="0"/>
          <c:showBubbleSize val="0"/>
        </c:dLbls>
        <c:gapWidth val="150"/>
        <c:axId val="483415936"/>
        <c:axId val="483447552"/>
      </c:barChart>
      <c:catAx>
        <c:axId val="483415936"/>
        <c:scaling>
          <c:orientation val="minMax"/>
        </c:scaling>
        <c:delete val="0"/>
        <c:axPos val="b"/>
        <c:numFmt formatCode="General" sourceLinked="0"/>
        <c:majorTickMark val="out"/>
        <c:minorTickMark val="none"/>
        <c:tickLblPos val="nextTo"/>
        <c:crossAx val="483447552"/>
        <c:crosses val="autoZero"/>
        <c:auto val="1"/>
        <c:lblAlgn val="ctr"/>
        <c:lblOffset val="100"/>
        <c:noMultiLvlLbl val="0"/>
      </c:catAx>
      <c:valAx>
        <c:axId val="483447552"/>
        <c:scaling>
          <c:orientation val="minMax"/>
        </c:scaling>
        <c:delete val="0"/>
        <c:axPos val="l"/>
        <c:majorGridlines/>
        <c:numFmt formatCode="General" sourceLinked="1"/>
        <c:majorTickMark val="out"/>
        <c:minorTickMark val="none"/>
        <c:tickLblPos val="nextTo"/>
        <c:crossAx val="483415936"/>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pieChart>
        <c:varyColors val="1"/>
        <c:ser>
          <c:idx val="0"/>
          <c:order val="0"/>
          <c:tx>
            <c:strRef>
              <c:f>Лист1!$B$1</c:f>
              <c:strCache>
                <c:ptCount val="1"/>
                <c:pt idx="0">
                  <c:v>    </c:v>
                </c:pt>
              </c:strCache>
            </c:strRef>
          </c:tx>
          <c:dLbls>
            <c:spPr>
              <a:noFill/>
              <a:ln>
                <a:noFill/>
              </a:ln>
              <a:effectLst/>
            </c:spPr>
            <c:txPr>
              <a:bodyPr/>
              <a:lstStyle/>
              <a:p>
                <a:pPr>
                  <a:defRPr sz="1200"/>
                </a:pPr>
                <a:endParaRPr lang="uk-UA"/>
              </a:p>
            </c:txPr>
            <c:dLblPos val="outEnd"/>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Лист1!$A$2:$A$8</c:f>
              <c:strCache>
                <c:ptCount val="7"/>
                <c:pt idx="0">
                  <c:v>Таблетки</c:v>
                </c:pt>
                <c:pt idx="1">
                  <c:v>Розчин</c:v>
                </c:pt>
                <c:pt idx="2">
                  <c:v>Капсули</c:v>
                </c:pt>
                <c:pt idx="3">
                  <c:v>Збір</c:v>
                </c:pt>
                <c:pt idx="4">
                  <c:v>Сировина</c:v>
                </c:pt>
                <c:pt idx="5">
                  <c:v>настойка</c:v>
                </c:pt>
                <c:pt idx="6">
                  <c:v>сироп</c:v>
                </c:pt>
              </c:strCache>
            </c:strRef>
          </c:cat>
          <c:val>
            <c:numRef>
              <c:f>Лист1!$B$2:$B$8</c:f>
              <c:numCache>
                <c:formatCode>0.00%</c:formatCode>
                <c:ptCount val="7"/>
                <c:pt idx="0">
                  <c:v>0.1724</c:v>
                </c:pt>
                <c:pt idx="1">
                  <c:v>0.13800000000000001</c:v>
                </c:pt>
                <c:pt idx="2">
                  <c:v>0.2414</c:v>
                </c:pt>
                <c:pt idx="3">
                  <c:v>0.1033</c:v>
                </c:pt>
                <c:pt idx="4">
                  <c:v>0.2414</c:v>
                </c:pt>
                <c:pt idx="5">
                  <c:v>3.4500000000000003E-2</c:v>
                </c:pt>
                <c:pt idx="6">
                  <c:v>6.9000000000000006E-2</c:v>
                </c:pt>
              </c:numCache>
            </c:numRef>
          </c:val>
          <c:extLst>
            <c:ext xmlns:c16="http://schemas.microsoft.com/office/drawing/2014/chart" uri="{C3380CC4-5D6E-409C-BE32-E72D297353CC}">
              <c16:uniqueId val="{00000000-CBBA-4D95-9D88-BDD1F93FAEBD}"/>
            </c:ext>
          </c:extLst>
        </c:ser>
        <c:dLbls>
          <c:dLblPos val="outEnd"/>
          <c:showLegendKey val="0"/>
          <c:showVal val="1"/>
          <c:showCatName val="0"/>
          <c:showSerName val="0"/>
          <c:showPercent val="0"/>
          <c:showBubbleSize val="0"/>
          <c:showLeaderLines val="1"/>
        </c:dLbls>
        <c:firstSliceAng val="0"/>
      </c:pieChart>
    </c:plotArea>
    <c:legend>
      <c:legendPos val="r"/>
      <c:layout>
        <c:manualLayout>
          <c:xMode val="edge"/>
          <c:yMode val="edge"/>
          <c:x val="0.70993495378295124"/>
          <c:y val="0.15647838359827662"/>
          <c:w val="0.13814100823603945"/>
          <c:h val="0.7221373743376418"/>
        </c:manualLayout>
      </c:layout>
      <c:overlay val="0"/>
      <c:txPr>
        <a:bodyPr/>
        <a:lstStyle/>
        <a:p>
          <a:pPr>
            <a:defRPr sz="1200"/>
          </a:pPr>
          <a:endParaRPr lang="uk-UA"/>
        </a:p>
      </c:txPr>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title>
    <c:autoTitleDeleted val="0"/>
    <c:plotArea>
      <c:layout/>
      <c:pieChart>
        <c:varyColors val="1"/>
        <c:ser>
          <c:idx val="0"/>
          <c:order val="0"/>
          <c:tx>
            <c:strRef>
              <c:f>Лист1!$B$1</c:f>
              <c:strCache>
                <c:ptCount val="1"/>
                <c:pt idx="0">
                  <c:v>     </c:v>
                </c:pt>
              </c:strCache>
            </c:strRef>
          </c:tx>
          <c:dLbls>
            <c:spPr>
              <a:noFill/>
              <a:ln>
                <a:noFill/>
              </a:ln>
              <a:effectLst/>
            </c:spPr>
            <c:txPr>
              <a:bodyPr/>
              <a:lstStyle/>
              <a:p>
                <a:pPr>
                  <a:defRPr sz="1200"/>
                </a:pPr>
                <a:endParaRPr lang="uk-UA"/>
              </a:p>
            </c:txPr>
            <c:dLblPos val="outEnd"/>
            <c:showLegendKey val="0"/>
            <c:showVal val="1"/>
            <c:showCatName val="0"/>
            <c:showSerName val="0"/>
            <c:showPercent val="0"/>
            <c:showBubbleSize val="0"/>
            <c:showLeaderLines val="1"/>
            <c:extLst>
              <c:ext xmlns:c15="http://schemas.microsoft.com/office/drawing/2012/chart" uri="{CE6537A1-D6FC-4f65-9D91-7224C49458BB}">
                <c15:layout/>
              </c:ext>
            </c:extLst>
          </c:dLbls>
          <c:cat>
            <c:strRef>
              <c:f>Лист1!$A$2:$A$4</c:f>
              <c:strCache>
                <c:ptCount val="3"/>
                <c:pt idx="0">
                  <c:v>Однокомпонентні</c:v>
                </c:pt>
                <c:pt idx="1">
                  <c:v>Двокомпонентні</c:v>
                </c:pt>
                <c:pt idx="2">
                  <c:v>Багато компонентні</c:v>
                </c:pt>
              </c:strCache>
            </c:strRef>
          </c:cat>
          <c:val>
            <c:numRef>
              <c:f>Лист1!$B$2:$B$4</c:f>
              <c:numCache>
                <c:formatCode>0.00%</c:formatCode>
                <c:ptCount val="3"/>
                <c:pt idx="0">
                  <c:v>0.64439999999999997</c:v>
                </c:pt>
                <c:pt idx="1">
                  <c:v>2.2200000000000001E-2</c:v>
                </c:pt>
                <c:pt idx="2">
                  <c:v>0.33329999999999999</c:v>
                </c:pt>
              </c:numCache>
            </c:numRef>
          </c:val>
          <c:extLst>
            <c:ext xmlns:c16="http://schemas.microsoft.com/office/drawing/2014/chart" uri="{C3380CC4-5D6E-409C-BE32-E72D297353CC}">
              <c16:uniqueId val="{00000000-3E02-4D43-9338-6AC86CB6DB76}"/>
            </c:ext>
          </c:extLst>
        </c:ser>
        <c:dLbls>
          <c:dLblPos val="outEnd"/>
          <c:showLegendKey val="0"/>
          <c:showVal val="1"/>
          <c:showCatName val="0"/>
          <c:showSerName val="0"/>
          <c:showPercent val="0"/>
          <c:showBubbleSize val="0"/>
          <c:showLeaderLines val="1"/>
        </c:dLbls>
        <c:firstSliceAng val="0"/>
      </c:pieChart>
    </c:plotArea>
    <c:legend>
      <c:legendPos val="r"/>
      <c:layout/>
      <c:overlay val="0"/>
      <c:txPr>
        <a:bodyPr/>
        <a:lstStyle/>
        <a:p>
          <a:pPr>
            <a:defRPr sz="1100"/>
          </a:pPr>
          <a:endParaRPr lang="uk-UA"/>
        </a:p>
      </c:txPr>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layout/>
      <c:overlay val="0"/>
    </c:title>
    <c:autoTitleDeleted val="0"/>
    <c:view3D>
      <c:rotX val="75"/>
      <c:rotY val="0"/>
      <c:rAngAx val="0"/>
    </c:view3D>
    <c:floor>
      <c:thickness val="0"/>
    </c:floor>
    <c:sideWall>
      <c:thickness val="0"/>
    </c:sideWall>
    <c:backWall>
      <c:thickness val="0"/>
    </c:backWall>
    <c:plotArea>
      <c:layout/>
      <c:pie3DChart>
        <c:varyColors val="1"/>
        <c:ser>
          <c:idx val="0"/>
          <c:order val="0"/>
          <c:tx>
            <c:strRef>
              <c:f>'[Диаграмма в Microsoft Word]Лист1'!$B$1</c:f>
              <c:strCache>
                <c:ptCount val="1"/>
                <c:pt idx="0">
                  <c:v>           </c:v>
                </c:pt>
              </c:strCache>
            </c:strRef>
          </c:tx>
          <c:dLbls>
            <c:dLbl>
              <c:idx val="0"/>
              <c:layout>
                <c:manualLayout>
                  <c:x val="-3.465846456692908E-2"/>
                  <c:y val="-2.3735053951589383E-3"/>
                </c:manualLayout>
              </c:layout>
              <c:tx>
                <c:rich>
                  <a:bodyPr/>
                  <a:lstStyle/>
                  <a:p>
                    <a:pPr>
                      <a:defRPr sz="1200"/>
                    </a:pPr>
                    <a:r>
                      <a:rPr lang="en-US" sz="1200"/>
                      <a:t>18,75 %</a:t>
                    </a:r>
                  </a:p>
                </c:rich>
              </c:tx>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87D1-4F80-8A72-8B04D2D99AE3}"/>
                </c:ext>
              </c:extLst>
            </c:dLbl>
            <c:dLbl>
              <c:idx val="1"/>
              <c:layout>
                <c:manualLayout>
                  <c:x val="-1.199573490813647E-2"/>
                  <c:y val="-8.6942621755613875E-2"/>
                </c:manualLayout>
              </c:layout>
              <c:tx>
                <c:rich>
                  <a:bodyPr/>
                  <a:lstStyle/>
                  <a:p>
                    <a:pPr>
                      <a:defRPr sz="1200"/>
                    </a:pPr>
                    <a:r>
                      <a:rPr lang="en-US" sz="1200"/>
                      <a:t>81,25 %</a:t>
                    </a:r>
                  </a:p>
                </c:rich>
              </c:tx>
              <c:spPr/>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87D1-4F80-8A72-8B04D2D99AE3}"/>
                </c:ext>
              </c:extLst>
            </c:dLbl>
            <c:spPr>
              <a:noFill/>
              <a:ln>
                <a:noFill/>
              </a:ln>
              <a:effectLst/>
            </c:spPr>
            <c:txPr>
              <a:bodyPr/>
              <a:lstStyle/>
              <a:p>
                <a:pPr>
                  <a:defRPr sz="1100"/>
                </a:pPr>
                <a:endParaRPr lang="uk-UA"/>
              </a:p>
            </c:txPr>
            <c:showLegendKey val="0"/>
            <c:showVal val="1"/>
            <c:showCatName val="0"/>
            <c:showSerName val="0"/>
            <c:showPercent val="0"/>
            <c:showBubbleSize val="0"/>
            <c:showLeaderLines val="1"/>
            <c:extLst>
              <c:ext xmlns:c15="http://schemas.microsoft.com/office/drawing/2012/chart" uri="{CE6537A1-D6FC-4f65-9D91-7224C49458BB}"/>
            </c:extLst>
          </c:dLbls>
          <c:cat>
            <c:strRef>
              <c:f>'[Диаграмма в Microsoft Word]Лист1'!$A$2:$A$3</c:f>
              <c:strCache>
                <c:ptCount val="2"/>
                <c:pt idx="0">
                  <c:v>Іноземні препарати</c:v>
                </c:pt>
                <c:pt idx="1">
                  <c:v>Вітчизняні препарати</c:v>
                </c:pt>
              </c:strCache>
            </c:strRef>
          </c:cat>
          <c:val>
            <c:numRef>
              <c:f>'[Диаграмма в Microsoft Word]Лист1'!$B$2:$B$3</c:f>
              <c:numCache>
                <c:formatCode>0.00%</c:formatCode>
                <c:ptCount val="2"/>
                <c:pt idx="0">
                  <c:v>0.1875</c:v>
                </c:pt>
                <c:pt idx="1">
                  <c:v>0.8125</c:v>
                </c:pt>
              </c:numCache>
            </c:numRef>
          </c:val>
          <c:extLst>
            <c:ext xmlns:c16="http://schemas.microsoft.com/office/drawing/2014/chart" uri="{C3380CC4-5D6E-409C-BE32-E72D297353CC}">
              <c16:uniqueId val="{00000002-87D1-4F80-8A72-8B04D2D99AE3}"/>
            </c:ext>
          </c:extLst>
        </c:ser>
        <c:dLbls>
          <c:showLegendKey val="0"/>
          <c:showVal val="0"/>
          <c:showCatName val="0"/>
          <c:showSerName val="0"/>
          <c:showPercent val="0"/>
          <c:showBubbleSize val="0"/>
          <c:showLeaderLines val="1"/>
        </c:dLbls>
      </c:pie3DChart>
    </c:plotArea>
    <c:legend>
      <c:legendPos val="r"/>
      <c:layout/>
      <c:overlay val="0"/>
      <c:txPr>
        <a:bodyPr/>
        <a:lstStyle/>
        <a:p>
          <a:pPr>
            <a:defRPr sz="1100"/>
          </a:pPr>
          <a:endParaRPr lang="uk-UA"/>
        </a:p>
      </c:txPr>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explosion val="25"/>
          <c:dLbls>
            <c:dLbl>
              <c:idx val="0"/>
              <c:layout/>
              <c:tx>
                <c:rich>
                  <a:bodyPr/>
                  <a:lstStyle/>
                  <a:p>
                    <a:r>
                      <a:rPr lang="uk-UA"/>
                      <a:t>Екстракт
44 %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0-A459-4225-A339-334DB92C5BD4}"/>
                </c:ext>
              </c:extLst>
            </c:dLbl>
            <c:dLbl>
              <c:idx val="1"/>
              <c:layout/>
              <c:tx>
                <c:rich>
                  <a:bodyPr/>
                  <a:lstStyle/>
                  <a:p>
                    <a:r>
                      <a:rPr lang="uk-UA"/>
                      <a:t>Драже
7 %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1-A459-4225-A339-334DB92C5BD4}"/>
                </c:ext>
              </c:extLst>
            </c:dLbl>
            <c:dLbl>
              <c:idx val="2"/>
              <c:layout/>
              <c:tx>
                <c:rich>
                  <a:bodyPr/>
                  <a:lstStyle/>
                  <a:p>
                    <a:r>
                      <a:rPr lang="uk-UA"/>
                      <a:t>Розчин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2-A459-4225-A339-334DB92C5BD4}"/>
                </c:ext>
              </c:extLst>
            </c:dLbl>
            <c:dLbl>
              <c:idx val="3"/>
              <c:layout/>
              <c:tx>
                <c:rich>
                  <a:bodyPr/>
                  <a:lstStyle/>
                  <a:p>
                    <a:r>
                      <a:rPr lang="uk-UA"/>
                      <a:t>Гель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3-A459-4225-A339-334DB92C5BD4}"/>
                </c:ext>
              </c:extLst>
            </c:dLbl>
            <c:dLbl>
              <c:idx val="4"/>
              <c:layout/>
              <c:tx>
                <c:rich>
                  <a:bodyPr/>
                  <a:lstStyle/>
                  <a:p>
                    <a:r>
                      <a:rPr lang="uk-UA"/>
                      <a:t>Краплі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4-A459-4225-A339-334DB92C5BD4}"/>
                </c:ext>
              </c:extLst>
            </c:dLbl>
            <c:dLbl>
              <c:idx val="5"/>
              <c:layout/>
              <c:tx>
                <c:rich>
                  <a:bodyPr/>
                  <a:lstStyle/>
                  <a:p>
                    <a:r>
                      <a:rPr lang="uk-UA"/>
                      <a:t>Сироп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5-A459-4225-A339-334DB92C5BD4}"/>
                </c:ext>
              </c:extLst>
            </c:dLbl>
            <c:dLbl>
              <c:idx val="6"/>
              <c:layout/>
              <c:tx>
                <c:rich>
                  <a:bodyPr/>
                  <a:lstStyle/>
                  <a:p>
                    <a:r>
                      <a:rPr lang="uk-UA"/>
                      <a:t>Таблетки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6-A459-4225-A339-334DB92C5BD4}"/>
                </c:ext>
              </c:extLst>
            </c:dLbl>
            <c:dLbl>
              <c:idx val="7"/>
              <c:layout>
                <c:manualLayout>
                  <c:x val="-4.8778518069856657E-3"/>
                  <c:y val="8.25112340833557E-2"/>
                </c:manualLayout>
              </c:layout>
              <c:tx>
                <c:rich>
                  <a:bodyPr/>
                  <a:lstStyle/>
                  <a:p>
                    <a:r>
                      <a:rPr lang="uk-UA"/>
                      <a:t>Паста
13 %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7-A459-4225-A339-334DB92C5BD4}"/>
                </c:ext>
              </c:extLst>
            </c:dLbl>
            <c:dLbl>
              <c:idx val="8"/>
              <c:layout/>
              <c:tx>
                <c:rich>
                  <a:bodyPr/>
                  <a:lstStyle/>
                  <a:p>
                    <a:r>
                      <a:rPr lang="uk-UA"/>
                      <a:t>Порошок
6 %</a:t>
                    </a:r>
                  </a:p>
                </c:rich>
              </c:tx>
              <c:showLegendKey val="0"/>
              <c:showVal val="0"/>
              <c:showCatName val="1"/>
              <c:showSerName val="0"/>
              <c:showPercent val="1"/>
              <c:showBubbleSize val="0"/>
              <c:extLst>
                <c:ext xmlns:c15="http://schemas.microsoft.com/office/drawing/2012/chart" uri="{CE6537A1-D6FC-4f65-9D91-7224C49458BB}">
                  <c15:layout/>
                </c:ext>
                <c:ext xmlns:c16="http://schemas.microsoft.com/office/drawing/2014/chart" uri="{C3380CC4-5D6E-409C-BE32-E72D297353CC}">
                  <c16:uniqueId val="{00000008-A459-4225-A339-334DB92C5BD4}"/>
                </c:ext>
              </c:extLst>
            </c:dLbl>
            <c:spPr>
              <a:noFill/>
              <a:ln>
                <a:noFill/>
              </a:ln>
              <a:effectLst/>
            </c:spPr>
            <c:txPr>
              <a:bodyPr/>
              <a:lstStyle/>
              <a:p>
                <a:pPr>
                  <a:defRPr sz="1200"/>
                </a:pPr>
                <a:endParaRPr lang="uk-UA"/>
              </a:p>
            </c:txPr>
            <c:showLegendKey val="0"/>
            <c:showVal val="0"/>
            <c:showCatName val="1"/>
            <c:showSerName val="0"/>
            <c:showPercent val="1"/>
            <c:showBubbleSize val="0"/>
            <c:showLeaderLines val="1"/>
            <c:extLst>
              <c:ext xmlns:c15="http://schemas.microsoft.com/office/drawing/2012/chart" uri="{CE6537A1-D6FC-4f65-9D91-7224C49458BB}"/>
            </c:extLst>
          </c:dLbls>
          <c:cat>
            <c:strRef>
              <c:f>'[Диаграмма в Microsoft Word]Лист2'!$A$2:$A$10</c:f>
              <c:strCache>
                <c:ptCount val="9"/>
                <c:pt idx="0">
                  <c:v>Екстракт</c:v>
                </c:pt>
                <c:pt idx="1">
                  <c:v>Драже</c:v>
                </c:pt>
                <c:pt idx="2">
                  <c:v>Розчин</c:v>
                </c:pt>
                <c:pt idx="3">
                  <c:v>Гель</c:v>
                </c:pt>
                <c:pt idx="4">
                  <c:v>Краплі</c:v>
                </c:pt>
                <c:pt idx="5">
                  <c:v>Сироп</c:v>
                </c:pt>
                <c:pt idx="6">
                  <c:v>Таблетки</c:v>
                </c:pt>
                <c:pt idx="7">
                  <c:v>Паста</c:v>
                </c:pt>
                <c:pt idx="8">
                  <c:v>Порошок</c:v>
                </c:pt>
              </c:strCache>
            </c:strRef>
          </c:cat>
          <c:val>
            <c:numRef>
              <c:f>'[Диаграмма в Microsoft Word]Лист2'!$B$2:$B$10</c:f>
              <c:numCache>
                <c:formatCode>0.00%</c:formatCode>
                <c:ptCount val="9"/>
                <c:pt idx="0">
                  <c:v>0.4375</c:v>
                </c:pt>
                <c:pt idx="1">
                  <c:v>6.25E-2</c:v>
                </c:pt>
                <c:pt idx="2">
                  <c:v>6.25E-2</c:v>
                </c:pt>
                <c:pt idx="3">
                  <c:v>6.25E-2</c:v>
                </c:pt>
                <c:pt idx="4">
                  <c:v>6.25E-2</c:v>
                </c:pt>
                <c:pt idx="5">
                  <c:v>6.25E-2</c:v>
                </c:pt>
                <c:pt idx="6">
                  <c:v>6.25E-2</c:v>
                </c:pt>
                <c:pt idx="7">
                  <c:v>0.125</c:v>
                </c:pt>
                <c:pt idx="8">
                  <c:v>6.25E-2</c:v>
                </c:pt>
              </c:numCache>
            </c:numRef>
          </c:val>
          <c:extLst>
            <c:ext xmlns:c16="http://schemas.microsoft.com/office/drawing/2014/chart" uri="{C3380CC4-5D6E-409C-BE32-E72D297353CC}">
              <c16:uniqueId val="{00000009-A459-4225-A339-334DB92C5BD4}"/>
            </c:ext>
          </c:extLst>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4"/>
    </mc:Choice>
    <mc:Fallback>
      <c:style val="4"/>
    </mc:Fallback>
  </mc:AlternateContent>
  <c:chart>
    <c:title>
      <c:layout/>
      <c:overlay val="0"/>
    </c:title>
    <c:autoTitleDeleted val="0"/>
    <c:plotArea>
      <c:layout/>
      <c:barChart>
        <c:barDir val="col"/>
        <c:grouping val="clustered"/>
        <c:varyColors val="0"/>
        <c:ser>
          <c:idx val="0"/>
          <c:order val="0"/>
          <c:tx>
            <c:strRef>
              <c:f>Лист1!$B$1</c:f>
              <c:strCache>
                <c:ptCount val="1"/>
                <c:pt idx="0">
                  <c:v>    </c:v>
                </c:pt>
              </c:strCache>
            </c:strRef>
          </c:tx>
          <c:spPr>
            <a:gradFill flip="none" rotWithShape="1">
              <a:gsLst>
                <a:gs pos="0">
                  <a:srgbClr val="C00000">
                    <a:tint val="66000"/>
                    <a:satMod val="160000"/>
                  </a:srgbClr>
                </a:gs>
                <a:gs pos="50000">
                  <a:srgbClr val="C00000">
                    <a:tint val="44500"/>
                    <a:satMod val="160000"/>
                  </a:srgbClr>
                </a:gs>
                <a:gs pos="100000">
                  <a:srgbClr val="C00000">
                    <a:tint val="23500"/>
                    <a:satMod val="160000"/>
                  </a:srgbClr>
                </a:gs>
              </a:gsLst>
              <a:lin ang="5400000" scaled="1"/>
              <a:tileRect/>
            </a:gradFill>
          </c:spPr>
          <c:invertIfNegative val="0"/>
          <c:dLbls>
            <c:dLbl>
              <c:idx val="0"/>
              <c:layout/>
              <c:tx>
                <c:rich>
                  <a:bodyPr/>
                  <a:lstStyle/>
                  <a:p>
                    <a:r>
                      <a:rPr lang="en-US"/>
                      <a:t>2,33</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72DF-464C-A599-0174423E4296}"/>
                </c:ext>
              </c:extLst>
            </c:dLbl>
            <c:dLbl>
              <c:idx val="1"/>
              <c:layout/>
              <c:tx>
                <c:rich>
                  <a:bodyPr/>
                  <a:lstStyle/>
                  <a:p>
                    <a:r>
                      <a:rPr lang="en-US"/>
                      <a:t>2,68</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72DF-464C-A599-0174423E4296}"/>
                </c:ext>
              </c:extLst>
            </c:dLbl>
            <c:dLbl>
              <c:idx val="2"/>
              <c:layout/>
              <c:tx>
                <c:rich>
                  <a:bodyPr/>
                  <a:lstStyle/>
                  <a:p>
                    <a:r>
                      <a:rPr lang="en-US"/>
                      <a:t>1,43</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72DF-464C-A599-0174423E4296}"/>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2.3313329999999999</c:v>
                </c:pt>
                <c:pt idx="1">
                  <c:v>2.6833330000000002</c:v>
                </c:pt>
                <c:pt idx="2">
                  <c:v>1.4306669999999999</c:v>
                </c:pt>
              </c:numCache>
            </c:numRef>
          </c:val>
          <c:extLst>
            <c:ext xmlns:c16="http://schemas.microsoft.com/office/drawing/2014/chart" uri="{C3380CC4-5D6E-409C-BE32-E72D297353CC}">
              <c16:uniqueId val="{00000003-72DF-464C-A599-0174423E4296}"/>
            </c:ext>
          </c:extLst>
        </c:ser>
        <c:dLbls>
          <c:showLegendKey val="0"/>
          <c:showVal val="0"/>
          <c:showCatName val="0"/>
          <c:showSerName val="0"/>
          <c:showPercent val="0"/>
          <c:showBubbleSize val="0"/>
        </c:dLbls>
        <c:gapWidth val="75"/>
        <c:overlap val="-25"/>
        <c:axId val="417404416"/>
        <c:axId val="417405952"/>
      </c:barChart>
      <c:catAx>
        <c:axId val="417404416"/>
        <c:scaling>
          <c:orientation val="minMax"/>
        </c:scaling>
        <c:delete val="0"/>
        <c:axPos val="b"/>
        <c:numFmt formatCode="General" sourceLinked="0"/>
        <c:majorTickMark val="none"/>
        <c:minorTickMark val="none"/>
        <c:tickLblPos val="nextTo"/>
        <c:crossAx val="417405952"/>
        <c:crosses val="autoZero"/>
        <c:auto val="1"/>
        <c:lblAlgn val="ctr"/>
        <c:lblOffset val="100"/>
        <c:noMultiLvlLbl val="0"/>
      </c:catAx>
      <c:valAx>
        <c:axId val="417405952"/>
        <c:scaling>
          <c:orientation val="minMax"/>
        </c:scaling>
        <c:delete val="0"/>
        <c:axPos val="l"/>
        <c:majorGridlines/>
        <c:numFmt formatCode="General" sourceLinked="1"/>
        <c:majorTickMark val="none"/>
        <c:minorTickMark val="none"/>
        <c:tickLblPos val="nextTo"/>
        <c:spPr>
          <a:ln w="9525">
            <a:noFill/>
          </a:ln>
        </c:spPr>
        <c:crossAx val="41740441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Текучість 100 г/с</c:v>
                </c:pt>
              </c:strCache>
            </c:strRef>
          </c:tx>
          <c:spPr>
            <a:gradFill>
              <a:gsLst>
                <a:gs pos="0">
                  <a:schemeClr val="accent1">
                    <a:tint val="66000"/>
                    <a:satMod val="160000"/>
                    <a:lumMod val="58000"/>
                  </a:schemeClr>
                </a:gs>
                <a:gs pos="50000">
                  <a:schemeClr val="accent1">
                    <a:tint val="44500"/>
                    <a:satMod val="160000"/>
                  </a:schemeClr>
                </a:gs>
                <a:gs pos="100000">
                  <a:schemeClr val="accent1">
                    <a:tint val="23500"/>
                    <a:satMod val="160000"/>
                  </a:schemeClr>
                </a:gs>
              </a:gsLst>
              <a:lin ang="5400000" scaled="0"/>
            </a:gradFill>
          </c:spPr>
          <c:invertIfNegative val="0"/>
          <c:dLbls>
            <c:dLbl>
              <c:idx val="0"/>
              <c:layout/>
              <c:tx>
                <c:rich>
                  <a:bodyPr/>
                  <a:lstStyle/>
                  <a:p>
                    <a:r>
                      <a:rPr lang="en-US"/>
                      <a:t>26,47</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698F-4D09-A1EB-0B107ADD9D48}"/>
                </c:ext>
              </c:extLst>
            </c:dLbl>
            <c:dLbl>
              <c:idx val="1"/>
              <c:layout/>
              <c:tx>
                <c:rich>
                  <a:bodyPr/>
                  <a:lstStyle/>
                  <a:p>
                    <a:r>
                      <a:rPr lang="en-US"/>
                      <a:t>26,07</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698F-4D09-A1EB-0B107ADD9D48}"/>
                </c:ext>
              </c:extLst>
            </c:dLbl>
            <c:dLbl>
              <c:idx val="2"/>
              <c:layout/>
              <c:tx>
                <c:rich>
                  <a:bodyPr/>
                  <a:lstStyle/>
                  <a:p>
                    <a:r>
                      <a:rPr lang="en-US"/>
                      <a:t>19,75</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698F-4D09-A1EB-0B107ADD9D48}"/>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Карбоксиметил крохмаль натрію</c:v>
                </c:pt>
                <c:pt idx="1">
                  <c:v>Крохмаль гліколят натрію</c:v>
                </c:pt>
                <c:pt idx="2">
                  <c:v>Крохмаль прежелатинізований</c:v>
                </c:pt>
              </c:strCache>
            </c:strRef>
          </c:cat>
          <c:val>
            <c:numRef>
              <c:f>Лист1!$B$2:$B$4</c:f>
              <c:numCache>
                <c:formatCode>General</c:formatCode>
                <c:ptCount val="3"/>
                <c:pt idx="0">
                  <c:v>26.466670000000001</c:v>
                </c:pt>
                <c:pt idx="1">
                  <c:v>26.066669999999998</c:v>
                </c:pt>
                <c:pt idx="2">
                  <c:v>19.753329999999998</c:v>
                </c:pt>
              </c:numCache>
            </c:numRef>
          </c:val>
          <c:extLst>
            <c:ext xmlns:c16="http://schemas.microsoft.com/office/drawing/2014/chart" uri="{C3380CC4-5D6E-409C-BE32-E72D297353CC}">
              <c16:uniqueId val="{00000003-698F-4D09-A1EB-0B107ADD9D48}"/>
            </c:ext>
          </c:extLst>
        </c:ser>
        <c:dLbls>
          <c:showLegendKey val="0"/>
          <c:showVal val="0"/>
          <c:showCatName val="0"/>
          <c:showSerName val="0"/>
          <c:showPercent val="0"/>
          <c:showBubbleSize val="0"/>
        </c:dLbls>
        <c:gapWidth val="150"/>
        <c:axId val="417436416"/>
        <c:axId val="417437952"/>
      </c:barChart>
      <c:catAx>
        <c:axId val="417436416"/>
        <c:scaling>
          <c:orientation val="minMax"/>
        </c:scaling>
        <c:delete val="0"/>
        <c:axPos val="b"/>
        <c:numFmt formatCode="General" sourceLinked="0"/>
        <c:majorTickMark val="out"/>
        <c:minorTickMark val="none"/>
        <c:tickLblPos val="nextTo"/>
        <c:crossAx val="417437952"/>
        <c:crosses val="autoZero"/>
        <c:auto val="1"/>
        <c:lblAlgn val="ctr"/>
        <c:lblOffset val="100"/>
        <c:noMultiLvlLbl val="0"/>
      </c:catAx>
      <c:valAx>
        <c:axId val="417437952"/>
        <c:scaling>
          <c:orientation val="minMax"/>
        </c:scaling>
        <c:delete val="0"/>
        <c:axPos val="l"/>
        <c:majorGridlines/>
        <c:title>
          <c:tx>
            <c:rich>
              <a:bodyPr rot="0" vert="horz"/>
              <a:lstStyle/>
              <a:p>
                <a:pPr>
                  <a:defRPr/>
                </a:pPr>
                <a:r>
                  <a:rPr lang="ru-RU"/>
                  <a:t>Г/С</a:t>
                </a:r>
              </a:p>
            </c:rich>
          </c:tx>
          <c:layout>
            <c:manualLayout>
              <c:xMode val="edge"/>
              <c:yMode val="edge"/>
              <c:x val="1.1574074074074073E-2"/>
              <c:y val="2.7015685539307582E-2"/>
            </c:manualLayout>
          </c:layout>
          <c:overlay val="0"/>
        </c:title>
        <c:numFmt formatCode="General" sourceLinked="1"/>
        <c:majorTickMark val="out"/>
        <c:minorTickMark val="none"/>
        <c:tickLblPos val="nextTo"/>
        <c:crossAx val="417436416"/>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Текучість 100 г/с </c:v>
                </c:pt>
              </c:strCache>
            </c:strRef>
          </c:tx>
          <c:spPr>
            <a:gradFill flip="none" rotWithShape="1">
              <a:gsLst>
                <a:gs pos="0">
                  <a:srgbClr val="C00000">
                    <a:tint val="66000"/>
                    <a:satMod val="160000"/>
                  </a:srgbClr>
                </a:gs>
                <a:gs pos="50000">
                  <a:srgbClr val="C00000">
                    <a:tint val="44500"/>
                    <a:satMod val="160000"/>
                  </a:srgbClr>
                </a:gs>
                <a:gs pos="100000">
                  <a:srgbClr val="C00000">
                    <a:tint val="23500"/>
                    <a:satMod val="160000"/>
                  </a:srgbClr>
                </a:gs>
              </a:gsLst>
              <a:lin ang="5400000" scaled="1"/>
              <a:tileRect/>
            </a:gradFill>
          </c:spPr>
          <c:invertIfNegative val="0"/>
          <c:dLbls>
            <c:dLbl>
              <c:idx val="0"/>
              <c:layout/>
              <c:tx>
                <c:rich>
                  <a:bodyPr/>
                  <a:lstStyle/>
                  <a:p>
                    <a:r>
                      <a:rPr lang="en-US"/>
                      <a:t>25,00</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0-2848-41ED-A056-3A39E1158D92}"/>
                </c:ext>
              </c:extLst>
            </c:dLbl>
            <c:dLbl>
              <c:idx val="1"/>
              <c:layout/>
              <c:tx>
                <c:rich>
                  <a:bodyPr/>
                  <a:lstStyle/>
                  <a:p>
                    <a:r>
                      <a:rPr lang="en-US"/>
                      <a:t>24,36</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848-41ED-A056-3A39E1158D92}"/>
                </c:ext>
              </c:extLst>
            </c:dLbl>
            <c:dLbl>
              <c:idx val="2"/>
              <c:layout/>
              <c:tx>
                <c:rich>
                  <a:bodyPr/>
                  <a:lstStyle/>
                  <a:p>
                    <a:r>
                      <a:rPr lang="en-US"/>
                      <a:t>22,93</a:t>
                    </a:r>
                  </a:p>
                </c:rich>
              </c:tx>
              <c:dLblPos val="outEnd"/>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2848-41ED-A056-3A39E1158D92}"/>
                </c:ext>
              </c:extLst>
            </c:dLbl>
            <c:spPr>
              <a:noFill/>
              <a:ln>
                <a:noFill/>
              </a:ln>
              <a:effectLst/>
            </c:spPr>
            <c:txPr>
              <a:bodyPr/>
              <a:lstStyle/>
              <a:p>
                <a:pPr>
                  <a:defRPr b="1"/>
                </a:pPr>
                <a:endParaRPr lang="uk-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МКЦ 200 + лактоза (1:1)</c:v>
                </c:pt>
                <c:pt idx="1">
                  <c:v>МКЦ 101 + лактоза (1:1)</c:v>
                </c:pt>
                <c:pt idx="2">
                  <c:v>Лактоза</c:v>
                </c:pt>
              </c:strCache>
            </c:strRef>
          </c:cat>
          <c:val>
            <c:numRef>
              <c:f>Лист1!$B$2:$B$4</c:f>
              <c:numCache>
                <c:formatCode>General</c:formatCode>
                <c:ptCount val="3"/>
                <c:pt idx="0">
                  <c:v>24.996670000000002</c:v>
                </c:pt>
                <c:pt idx="1">
                  <c:v>24.356670000000001</c:v>
                </c:pt>
                <c:pt idx="2">
                  <c:v>22.933330000000002</c:v>
                </c:pt>
              </c:numCache>
            </c:numRef>
          </c:val>
          <c:extLst>
            <c:ext xmlns:c16="http://schemas.microsoft.com/office/drawing/2014/chart" uri="{C3380CC4-5D6E-409C-BE32-E72D297353CC}">
              <c16:uniqueId val="{00000003-2848-41ED-A056-3A39E1158D92}"/>
            </c:ext>
          </c:extLst>
        </c:ser>
        <c:dLbls>
          <c:showLegendKey val="0"/>
          <c:showVal val="0"/>
          <c:showCatName val="0"/>
          <c:showSerName val="0"/>
          <c:showPercent val="0"/>
          <c:showBubbleSize val="0"/>
        </c:dLbls>
        <c:gapWidth val="150"/>
        <c:axId val="416886784"/>
        <c:axId val="416888320"/>
      </c:barChart>
      <c:catAx>
        <c:axId val="416886784"/>
        <c:scaling>
          <c:orientation val="minMax"/>
        </c:scaling>
        <c:delete val="0"/>
        <c:axPos val="b"/>
        <c:numFmt formatCode="General" sourceLinked="0"/>
        <c:majorTickMark val="out"/>
        <c:minorTickMark val="none"/>
        <c:tickLblPos val="nextTo"/>
        <c:crossAx val="416888320"/>
        <c:crosses val="autoZero"/>
        <c:auto val="1"/>
        <c:lblAlgn val="ctr"/>
        <c:lblOffset val="100"/>
        <c:noMultiLvlLbl val="0"/>
      </c:catAx>
      <c:valAx>
        <c:axId val="416888320"/>
        <c:scaling>
          <c:orientation val="minMax"/>
        </c:scaling>
        <c:delete val="0"/>
        <c:axPos val="l"/>
        <c:majorGridlines/>
        <c:title>
          <c:tx>
            <c:rich>
              <a:bodyPr rot="0" vert="horz"/>
              <a:lstStyle/>
              <a:p>
                <a:pPr>
                  <a:defRPr/>
                </a:pPr>
                <a:r>
                  <a:rPr lang="ru-RU"/>
                  <a:t>г/с</a:t>
                </a:r>
              </a:p>
            </c:rich>
          </c:tx>
          <c:layout>
            <c:manualLayout>
              <c:xMode val="edge"/>
              <c:yMode val="edge"/>
              <c:x val="1.1574074074074073E-2"/>
              <c:y val="2.742219722534683E-2"/>
            </c:manualLayout>
          </c:layout>
          <c:overlay val="0"/>
        </c:title>
        <c:numFmt formatCode="General" sourceLinked="1"/>
        <c:majorTickMark val="out"/>
        <c:minorTickMark val="none"/>
        <c:tickLblPos val="nextTo"/>
        <c:crossAx val="416886784"/>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D32C46-2B4E-4DA4-8028-F75FB13BF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54583</Words>
  <Characters>31113</Characters>
  <Application>Microsoft Office Word</Application>
  <DocSecurity>0</DocSecurity>
  <Lines>259</Lines>
  <Paragraphs>171</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родовження Рисунку 2.1</vt:lpstr>
      <vt:lpstr>родовження Рисунку 2.1</vt:lpstr>
    </vt:vector>
  </TitlesOfParts>
  <Company>diakov.net</Company>
  <LinksUpToDate>false</LinksUpToDate>
  <CharactersWithSpaces>85525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родовження Рисунку 2.1</dc:title>
  <dc:subject/>
  <dc:creator>RePack by Diakov</dc:creator>
  <cp:keywords/>
  <dc:description/>
  <cp:lastModifiedBy>4 comp</cp:lastModifiedBy>
  <cp:revision>2</cp:revision>
  <cp:lastPrinted>2024-06-06T06:48:00Z</cp:lastPrinted>
  <dcterms:created xsi:type="dcterms:W3CDTF">2024-06-14T09:30:00Z</dcterms:created>
  <dcterms:modified xsi:type="dcterms:W3CDTF">2024-06-14T09:30:00Z</dcterms:modified>
</cp:coreProperties>
</file>