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0763" w:rsidRDefault="00912C9B">
      <w:pPr>
        <w:tabs>
          <w:tab w:val="left" w:pos="426"/>
        </w:tabs>
        <w:spacing w:line="360" w:lineRule="auto"/>
        <w:ind w:left="426" w:right="139" w:firstLine="992"/>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The Ministry of Health of Ukraine</w:t>
      </w:r>
    </w:p>
    <w:p w:rsidR="00AE0763" w:rsidRDefault="00912C9B">
      <w:pPr>
        <w:tabs>
          <w:tab w:val="left" w:pos="426"/>
        </w:tabs>
        <w:spacing w:line="360" w:lineRule="auto"/>
        <w:ind w:left="426" w:right="139" w:firstLine="992"/>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I.  Horbachevsky Ternopil National Medical University</w:t>
      </w:r>
    </w:p>
    <w:p w:rsidR="00AE0763" w:rsidRDefault="00912C9B">
      <w:pPr>
        <w:tabs>
          <w:tab w:val="left" w:pos="426"/>
        </w:tabs>
        <w:spacing w:line="360" w:lineRule="auto"/>
        <w:ind w:left="426" w:right="139" w:firstLine="992"/>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of the Ministry of Health of Ukraine</w:t>
      </w:r>
    </w:p>
    <w:p w:rsidR="00AE0763" w:rsidRDefault="00AE0763">
      <w:pPr>
        <w:tabs>
          <w:tab w:val="left" w:pos="426"/>
        </w:tabs>
        <w:spacing w:line="360" w:lineRule="auto"/>
        <w:ind w:left="426" w:right="139" w:firstLine="992"/>
        <w:jc w:val="center"/>
        <w:rPr>
          <w:rFonts w:ascii="Times New Roman" w:eastAsia="Times New Roman" w:hAnsi="Times New Roman" w:cs="Times New Roman"/>
          <w:sz w:val="28"/>
          <w:szCs w:val="28"/>
        </w:rPr>
      </w:pPr>
    </w:p>
    <w:p w:rsidR="00AE0763" w:rsidRDefault="00AE0763">
      <w:pPr>
        <w:tabs>
          <w:tab w:val="left" w:pos="426"/>
        </w:tabs>
        <w:spacing w:line="360" w:lineRule="auto"/>
        <w:ind w:left="426" w:right="139" w:firstLine="992"/>
        <w:jc w:val="center"/>
        <w:rPr>
          <w:rFonts w:ascii="Times New Roman" w:eastAsia="Times New Roman" w:hAnsi="Times New Roman" w:cs="Times New Roman"/>
          <w:sz w:val="28"/>
          <w:szCs w:val="28"/>
        </w:rPr>
      </w:pPr>
    </w:p>
    <w:p w:rsidR="00AE0763" w:rsidRDefault="00AE0763">
      <w:pPr>
        <w:tabs>
          <w:tab w:val="left" w:pos="426"/>
        </w:tabs>
        <w:spacing w:line="360" w:lineRule="auto"/>
        <w:ind w:left="426" w:right="139" w:firstLine="992"/>
        <w:jc w:val="center"/>
        <w:rPr>
          <w:rFonts w:ascii="Times New Roman" w:eastAsia="Times New Roman" w:hAnsi="Times New Roman" w:cs="Times New Roman"/>
          <w:sz w:val="28"/>
          <w:szCs w:val="28"/>
        </w:rPr>
      </w:pPr>
    </w:p>
    <w:p w:rsidR="00AE0763" w:rsidRDefault="00912C9B">
      <w:pPr>
        <w:tabs>
          <w:tab w:val="left" w:pos="426"/>
        </w:tabs>
        <w:spacing w:line="360" w:lineRule="auto"/>
        <w:ind w:left="426" w:right="139" w:firstLine="992"/>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as manuscript</w:t>
      </w:r>
    </w:p>
    <w:p w:rsidR="00AE0763" w:rsidRDefault="00F15B53">
      <w:pPr>
        <w:tabs>
          <w:tab w:val="left" w:pos="426"/>
        </w:tabs>
        <w:spacing w:line="360" w:lineRule="auto"/>
        <w:ind w:left="426" w:right="139" w:firstLine="992"/>
        <w:jc w:val="center"/>
        <w:rPr>
          <w:rFonts w:ascii="Times New Roman" w:eastAsia="Times New Roman" w:hAnsi="Times New Roman" w:cs="Times New Roman"/>
          <w:sz w:val="28"/>
          <w:szCs w:val="28"/>
        </w:rPr>
      </w:pPr>
      <w:r>
        <w:rPr>
          <w:rFonts w:ascii="Arial" w:hAnsi="Arial" w:cs="Arial"/>
          <w:color w:val="222222"/>
          <w:shd w:val="clear" w:color="auto" w:fill="FFFFFF"/>
        </w:rPr>
        <w:t>УДК 614.253.53:159.944</w:t>
      </w:r>
      <w:bookmarkStart w:id="0" w:name="_GoBack"/>
      <w:bookmarkEnd w:id="0"/>
    </w:p>
    <w:p w:rsidR="00AE0763" w:rsidRDefault="00AE0763">
      <w:pPr>
        <w:tabs>
          <w:tab w:val="left" w:pos="426"/>
        </w:tabs>
        <w:spacing w:line="360" w:lineRule="auto"/>
        <w:ind w:left="426" w:right="139" w:firstLine="992"/>
        <w:jc w:val="center"/>
        <w:rPr>
          <w:rFonts w:ascii="Times New Roman" w:eastAsia="Times New Roman" w:hAnsi="Times New Roman" w:cs="Times New Roman"/>
          <w:sz w:val="28"/>
          <w:szCs w:val="28"/>
        </w:rPr>
      </w:pPr>
    </w:p>
    <w:p w:rsidR="00AE0763" w:rsidRDefault="00912C9B">
      <w:pPr>
        <w:tabs>
          <w:tab w:val="left" w:pos="426"/>
        </w:tabs>
        <w:spacing w:line="360" w:lineRule="auto"/>
        <w:ind w:left="426" w:right="139" w:firstLine="992"/>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Babaytsev Victor</w:t>
      </w:r>
    </w:p>
    <w:p w:rsidR="00AE0763" w:rsidRDefault="00AE0763">
      <w:pPr>
        <w:tabs>
          <w:tab w:val="left" w:pos="426"/>
        </w:tabs>
        <w:spacing w:line="360" w:lineRule="auto"/>
        <w:ind w:left="426" w:right="139" w:firstLine="992"/>
        <w:jc w:val="center"/>
        <w:rPr>
          <w:rFonts w:ascii="Times New Roman" w:eastAsia="Times New Roman" w:hAnsi="Times New Roman" w:cs="Times New Roman"/>
          <w:sz w:val="28"/>
          <w:szCs w:val="28"/>
        </w:rPr>
      </w:pPr>
    </w:p>
    <w:p w:rsidR="00AE0763" w:rsidRDefault="00AE0763">
      <w:pPr>
        <w:tabs>
          <w:tab w:val="left" w:pos="426"/>
        </w:tabs>
        <w:spacing w:line="360" w:lineRule="auto"/>
        <w:ind w:left="426" w:right="139" w:firstLine="992"/>
        <w:jc w:val="center"/>
        <w:rPr>
          <w:rFonts w:ascii="Times New Roman" w:eastAsia="Times New Roman" w:hAnsi="Times New Roman" w:cs="Times New Roman"/>
          <w:sz w:val="28"/>
          <w:szCs w:val="28"/>
        </w:rPr>
      </w:pPr>
    </w:p>
    <w:p w:rsidR="00AE0763" w:rsidRDefault="00912C9B">
      <w:pPr>
        <w:tabs>
          <w:tab w:val="left" w:pos="426"/>
        </w:tabs>
        <w:spacing w:line="360" w:lineRule="auto"/>
        <w:ind w:left="426" w:right="139" w:firstLine="992"/>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Master's Thesis</w:t>
      </w:r>
    </w:p>
    <w:p w:rsidR="00AE0763" w:rsidRDefault="00AE0763">
      <w:pPr>
        <w:tabs>
          <w:tab w:val="left" w:pos="426"/>
        </w:tabs>
        <w:spacing w:line="360" w:lineRule="auto"/>
        <w:ind w:left="426" w:right="139" w:firstLine="992"/>
        <w:jc w:val="center"/>
        <w:rPr>
          <w:rFonts w:ascii="Times New Roman" w:eastAsia="Times New Roman" w:hAnsi="Times New Roman" w:cs="Times New Roman"/>
          <w:sz w:val="28"/>
          <w:szCs w:val="28"/>
        </w:rPr>
      </w:pPr>
    </w:p>
    <w:p w:rsidR="00AE0763" w:rsidRDefault="00912C9B">
      <w:pPr>
        <w:tabs>
          <w:tab w:val="left" w:pos="426"/>
        </w:tabs>
        <w:spacing w:line="360" w:lineRule="auto"/>
        <w:ind w:left="426" w:right="139" w:firstLine="992"/>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Research on the frequency of psychological problems in hospital nurses</w:t>
      </w:r>
    </w:p>
    <w:p w:rsidR="00AE0763" w:rsidRDefault="00AE0763">
      <w:pPr>
        <w:tabs>
          <w:tab w:val="left" w:pos="426"/>
        </w:tabs>
        <w:spacing w:line="360" w:lineRule="auto"/>
        <w:ind w:left="426" w:right="139" w:firstLine="992"/>
        <w:jc w:val="center"/>
        <w:rPr>
          <w:rFonts w:ascii="Times New Roman" w:eastAsia="Times New Roman" w:hAnsi="Times New Roman" w:cs="Times New Roman"/>
          <w:sz w:val="28"/>
          <w:szCs w:val="28"/>
        </w:rPr>
      </w:pPr>
    </w:p>
    <w:p w:rsidR="00AE0763" w:rsidRDefault="00912C9B">
      <w:pPr>
        <w:tabs>
          <w:tab w:val="left" w:pos="426"/>
        </w:tabs>
        <w:spacing w:line="360" w:lineRule="auto"/>
        <w:ind w:left="426" w:right="139" w:firstLine="992"/>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Master of Science in Nursing</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rPr>
      </w:pP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rPr>
      </w:pP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rPr>
      </w:pP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rPr>
      </w:pP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rPr>
      </w:pPr>
    </w:p>
    <w:p w:rsidR="00AE0763" w:rsidRDefault="00912C9B">
      <w:pPr>
        <w:tabs>
          <w:tab w:val="left" w:pos="426"/>
        </w:tabs>
        <w:spacing w:line="360" w:lineRule="auto"/>
        <w:ind w:left="426" w:right="139" w:firstLine="992"/>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The Scientific Supervisor:</w:t>
      </w:r>
    </w:p>
    <w:p w:rsidR="00AE0763" w:rsidRDefault="00912C9B">
      <w:pPr>
        <w:tabs>
          <w:tab w:val="left" w:pos="426"/>
        </w:tabs>
        <w:spacing w:line="360" w:lineRule="auto"/>
        <w:ind w:left="426" w:right="139" w:firstLine="992"/>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Nadiya Rehа, MD, PhD</w:t>
      </w:r>
    </w:p>
    <w:p w:rsidR="00AE0763" w:rsidRDefault="00912C9B">
      <w:pPr>
        <w:tabs>
          <w:tab w:val="left" w:pos="426"/>
        </w:tabs>
        <w:spacing w:line="360" w:lineRule="auto"/>
        <w:ind w:left="426" w:right="139" w:firstLine="992"/>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Associate Professor</w:t>
      </w:r>
    </w:p>
    <w:p w:rsidR="00AE0763" w:rsidRDefault="00912C9B">
      <w:pPr>
        <w:tabs>
          <w:tab w:val="left" w:pos="426"/>
        </w:tabs>
        <w:spacing w:line="360" w:lineRule="auto"/>
        <w:ind w:left="426" w:right="139" w:firstLine="992"/>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I. Horbachevsky</w:t>
      </w:r>
    </w:p>
    <w:p w:rsidR="00AE0763" w:rsidRDefault="00912C9B">
      <w:pPr>
        <w:tabs>
          <w:tab w:val="left" w:pos="426"/>
        </w:tabs>
        <w:spacing w:line="360" w:lineRule="auto"/>
        <w:ind w:left="426" w:right="139" w:firstLine="992"/>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Ternopil National</w:t>
      </w:r>
    </w:p>
    <w:p w:rsidR="00AE0763" w:rsidRDefault="00912C9B">
      <w:pPr>
        <w:tabs>
          <w:tab w:val="left" w:pos="426"/>
        </w:tabs>
        <w:spacing w:line="360" w:lineRule="auto"/>
        <w:ind w:left="426" w:right="139" w:firstLine="992"/>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Medical University</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rPr>
      </w:pPr>
    </w:p>
    <w:p w:rsidR="00AE0763" w:rsidRDefault="00912C9B">
      <w:pPr>
        <w:tabs>
          <w:tab w:val="left" w:pos="426"/>
        </w:tabs>
        <w:spacing w:line="360" w:lineRule="auto"/>
        <w:ind w:left="426" w:right="139" w:firstLine="992"/>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Ternopil, 2025</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br w:type="page"/>
      </w:r>
    </w:p>
    <w:p w:rsidR="00AE0763" w:rsidRDefault="00912C9B">
      <w:pPr>
        <w:tabs>
          <w:tab w:val="left" w:pos="426"/>
        </w:tabs>
        <w:spacing w:line="360" w:lineRule="auto"/>
        <w:ind w:left="426" w:right="139" w:firstLine="992"/>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ABSTRACT</w:t>
      </w:r>
    </w:p>
    <w:p w:rsidR="00AE0763" w:rsidRDefault="00AE0763">
      <w:pPr>
        <w:tabs>
          <w:tab w:val="left" w:pos="426"/>
        </w:tabs>
        <w:spacing w:line="360" w:lineRule="auto"/>
        <w:ind w:left="426" w:right="139" w:firstLine="992"/>
        <w:jc w:val="both"/>
        <w:rPr>
          <w:rFonts w:ascii="Times New Roman" w:eastAsia="Times New Roman" w:hAnsi="Times New Roman" w:cs="Times New Roman"/>
          <w:b/>
          <w:sz w:val="28"/>
          <w:szCs w:val="28"/>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Babaytsev Victor. </w:t>
      </w:r>
      <w:r>
        <w:rPr>
          <w:rFonts w:ascii="Times New Roman" w:eastAsia="Times New Roman" w:hAnsi="Times New Roman" w:cs="Times New Roman"/>
          <w:sz w:val="28"/>
          <w:szCs w:val="28"/>
          <w:highlight w:val="white"/>
        </w:rPr>
        <w:t xml:space="preserve">Research on the frequency of psychological problems in hospital nurses. </w:t>
      </w:r>
      <w:r>
        <w:rPr>
          <w:rFonts w:ascii="Times New Roman" w:eastAsia="Times New Roman" w:hAnsi="Times New Roman" w:cs="Times New Roman"/>
          <w:sz w:val="28"/>
          <w:szCs w:val="28"/>
        </w:rPr>
        <w:t>I. Horbachevsky Ternopil National Medical University, 2025. The Scientific Supervisor: Nadiya Rehа, MD, PhD.</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According to the results of a systematic review of 13 studies (33,062 participants) (Pappa et al., 2020), anxiety disorders were recorded in 23.2% of healthcare workers, depressive disorders in 22.8%, insomnia in 38.9%, and women and nurses had higher levels of affective symptoms. There are a number of objective difficulties in modern medicine: insufficient resources, lack of equipment, an incompletely established structure of the medical service, lack of experience in crisis situations, and much more. Also, nurses often do not receive at all or receive very limited knowledge and skills in caring for their psychological state during their training or advanced training.</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above data on the increasing frequency of mental disorders in the population and the high risk of their development in nurses due to the nature of their work prompted us to conduct this study.</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aim of the work: to identify the level of stress in nurses, namely its main signs of anxiety and depression, and to assess how much stress affects both the work of nurses and their daily activities. </w:t>
      </w:r>
    </w:p>
    <w:p w:rsidR="00AE0763" w:rsidRDefault="00912C9B">
      <w:pPr>
        <w:pStyle w:val="a4"/>
        <w:tabs>
          <w:tab w:val="left" w:pos="426"/>
        </w:tabs>
        <w:spacing w:after="0" w:line="360" w:lineRule="auto"/>
        <w:ind w:left="426" w:right="139" w:firstLine="992"/>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Research subject. The frequency of stress in nurses, namely its main signs of anxiety and depression.  </w:t>
      </w:r>
    </w:p>
    <w:p w:rsidR="00AE0763" w:rsidRDefault="00912C9B">
      <w:pPr>
        <w:pBdr>
          <w:top w:val="nil"/>
          <w:left w:val="nil"/>
          <w:bottom w:val="nil"/>
          <w:right w:val="nil"/>
          <w:between w:val="nil"/>
        </w:pBd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Having studied the degree of depression in nurses based on the Beck questionnaire, </w:t>
      </w:r>
      <w:r>
        <w:rPr>
          <w:rFonts w:ascii="Times New Roman" w:eastAsia="Times New Roman" w:hAnsi="Times New Roman" w:cs="Times New Roman"/>
          <w:sz w:val="28"/>
          <w:szCs w:val="28"/>
        </w:rPr>
        <w:t>Hospital Anxiety and Depression Scale and Likert scale,</w:t>
      </w:r>
      <w:r>
        <w:rPr>
          <w:rFonts w:ascii="Times New Roman" w:eastAsia="Times New Roman" w:hAnsi="Times New Roman" w:cs="Times New Roman"/>
          <w:sz w:val="28"/>
          <w:szCs w:val="28"/>
          <w:highlight w:val="white"/>
        </w:rPr>
        <w:t xml:space="preserve"> it is possible to recommend using scientifically based methods of pathological personality disorders correction and prevention. The obtained results can be used for optimal strategies, tactics and means of psychological, psychotherapeutic and medical influence, for the development of methods of the prevention of mental disorders and pathological personality behavioral disorders in nurses. </w:t>
      </w:r>
    </w:p>
    <w:p w:rsidR="00AE0763" w:rsidRDefault="00912C9B">
      <w:pPr>
        <w:pBdr>
          <w:top w:val="nil"/>
          <w:left w:val="nil"/>
          <w:bottom w:val="nil"/>
          <w:right w:val="nil"/>
          <w:between w:val="nil"/>
        </w:pBd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The most common symptoms of depression were sleep disorders, decreased appetite, pain in the lower back and head and anergy. Anxiety states are </w:t>
      </w:r>
      <w:r>
        <w:rPr>
          <w:rFonts w:ascii="Times New Roman" w:eastAsia="Times New Roman" w:hAnsi="Times New Roman" w:cs="Times New Roman"/>
          <w:sz w:val="28"/>
          <w:szCs w:val="28"/>
          <w:highlight w:val="white"/>
        </w:rPr>
        <w:lastRenderedPageBreak/>
        <w:t>characterized by difficulty falling asleep, restless sleep, somatovegetative disorders combined with hypochondriacal ideas. Apathy is characterized by late awakenings and a feeling of weaknesses throughout the body.</w:t>
      </w:r>
    </w:p>
    <w:p w:rsidR="00AE0763" w:rsidRDefault="00912C9B">
      <w:pPr>
        <w:pBdr>
          <w:top w:val="nil"/>
          <w:left w:val="nil"/>
          <w:bottom w:val="nil"/>
          <w:right w:val="nil"/>
          <w:between w:val="nil"/>
        </w:pBd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The use of the obtained data can increase the recognition of depression, and psychiatrists can conduct treatment in order to reduce the frequency of depressive and anxiety disorders, suicidal risk, reduce economic losses and improve the quality of life of nurses and their families.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Key words: </w:t>
      </w:r>
      <w:r>
        <w:rPr>
          <w:rFonts w:ascii="Times New Roman" w:eastAsia="Times New Roman" w:hAnsi="Times New Roman" w:cs="Times New Roman"/>
          <w:sz w:val="28"/>
          <w:szCs w:val="28"/>
          <w:highlight w:val="white"/>
        </w:rPr>
        <w:t xml:space="preserve">nurses, anxiety, depression scale, </w:t>
      </w:r>
      <w:r>
        <w:rPr>
          <w:rFonts w:ascii="Times New Roman" w:eastAsia="Times New Roman" w:hAnsi="Times New Roman" w:cs="Times New Roman"/>
          <w:sz w:val="28"/>
          <w:szCs w:val="28"/>
        </w:rPr>
        <w:t>burnout syndrome</w:t>
      </w:r>
      <w:r>
        <w:rPr>
          <w:rFonts w:ascii="Times New Roman" w:eastAsia="Times New Roman" w:hAnsi="Times New Roman" w:cs="Times New Roman"/>
          <w:sz w:val="28"/>
          <w:szCs w:val="28"/>
          <w:highlight w:val="white"/>
        </w:rPr>
        <w:t xml:space="preserve">.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br w:type="page"/>
      </w:r>
    </w:p>
    <w:p w:rsidR="00AE0763" w:rsidRDefault="00912C9B">
      <w:pPr>
        <w:tabs>
          <w:tab w:val="left" w:pos="426"/>
        </w:tabs>
        <w:spacing w:line="360" w:lineRule="auto"/>
        <w:ind w:left="426" w:right="139" w:firstLine="992"/>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TABLE OF CONTENTS</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rPr>
      </w:pPr>
    </w:p>
    <w:tbl>
      <w:tblPr>
        <w:tblStyle w:val="a5"/>
        <w:tblW w:w="9813" w:type="dxa"/>
        <w:tblInd w:w="252" w:type="dxa"/>
        <w:tblBorders>
          <w:top w:val="nil"/>
          <w:left w:val="nil"/>
          <w:bottom w:val="nil"/>
          <w:right w:val="nil"/>
          <w:insideH w:val="nil"/>
          <w:insideV w:val="nil"/>
        </w:tblBorders>
        <w:tblLayout w:type="fixed"/>
        <w:tblLook w:val="0400" w:firstRow="0" w:lastRow="0" w:firstColumn="0" w:lastColumn="0" w:noHBand="0" w:noVBand="1"/>
      </w:tblPr>
      <w:tblGrid>
        <w:gridCol w:w="8679"/>
        <w:gridCol w:w="283"/>
        <w:gridCol w:w="709"/>
        <w:gridCol w:w="142"/>
      </w:tblGrid>
      <w:tr w:rsidR="00AE0763">
        <w:trPr>
          <w:gridAfter w:val="1"/>
          <w:wAfter w:w="142" w:type="dxa"/>
        </w:trPr>
        <w:tc>
          <w:tcPr>
            <w:tcW w:w="8679" w:type="dxa"/>
          </w:tcPr>
          <w:p w:rsidR="00AE0763" w:rsidRDefault="00912C9B">
            <w:pPr>
              <w:tabs>
                <w:tab w:val="left" w:pos="426"/>
              </w:tabs>
              <w:spacing w:line="360" w:lineRule="auto"/>
              <w:ind w:left="426" w:right="-2"/>
              <w:jc w:val="both"/>
              <w:rPr>
                <w:sz w:val="28"/>
                <w:szCs w:val="28"/>
              </w:rPr>
            </w:pPr>
            <w:r>
              <w:rPr>
                <w:sz w:val="28"/>
                <w:szCs w:val="28"/>
              </w:rPr>
              <w:t>LIST OF ABBREVIATIONS</w:t>
            </w:r>
          </w:p>
        </w:tc>
        <w:tc>
          <w:tcPr>
            <w:tcW w:w="992" w:type="dxa"/>
            <w:gridSpan w:val="2"/>
          </w:tcPr>
          <w:p w:rsidR="00AE0763" w:rsidRDefault="00912C9B">
            <w:pPr>
              <w:spacing w:line="360" w:lineRule="auto"/>
              <w:ind w:left="35" w:right="-2"/>
              <w:jc w:val="both"/>
              <w:rPr>
                <w:sz w:val="28"/>
                <w:szCs w:val="28"/>
              </w:rPr>
            </w:pPr>
            <w:r>
              <w:rPr>
                <w:sz w:val="28"/>
                <w:szCs w:val="28"/>
              </w:rPr>
              <w:t>5</w:t>
            </w:r>
          </w:p>
        </w:tc>
      </w:tr>
      <w:tr w:rsidR="00AE0763">
        <w:trPr>
          <w:gridAfter w:val="1"/>
          <w:wAfter w:w="142" w:type="dxa"/>
        </w:trPr>
        <w:tc>
          <w:tcPr>
            <w:tcW w:w="8679" w:type="dxa"/>
          </w:tcPr>
          <w:p w:rsidR="00AE0763" w:rsidRDefault="00912C9B">
            <w:pPr>
              <w:tabs>
                <w:tab w:val="left" w:pos="426"/>
              </w:tabs>
              <w:spacing w:line="360" w:lineRule="auto"/>
              <w:ind w:left="426" w:right="-2"/>
              <w:jc w:val="both"/>
              <w:rPr>
                <w:sz w:val="28"/>
                <w:szCs w:val="28"/>
              </w:rPr>
            </w:pPr>
            <w:r>
              <w:rPr>
                <w:sz w:val="28"/>
                <w:szCs w:val="28"/>
              </w:rPr>
              <w:t>INTRODUCTION</w:t>
            </w:r>
          </w:p>
        </w:tc>
        <w:tc>
          <w:tcPr>
            <w:tcW w:w="992" w:type="dxa"/>
            <w:gridSpan w:val="2"/>
          </w:tcPr>
          <w:p w:rsidR="00AE0763" w:rsidRDefault="00912C9B">
            <w:pPr>
              <w:spacing w:line="360" w:lineRule="auto"/>
              <w:ind w:left="35" w:right="-2"/>
              <w:jc w:val="both"/>
              <w:rPr>
                <w:sz w:val="28"/>
                <w:szCs w:val="28"/>
              </w:rPr>
            </w:pPr>
            <w:r>
              <w:rPr>
                <w:sz w:val="28"/>
                <w:szCs w:val="28"/>
              </w:rPr>
              <w:t>6</w:t>
            </w:r>
          </w:p>
        </w:tc>
      </w:tr>
      <w:tr w:rsidR="00AE0763">
        <w:trPr>
          <w:gridAfter w:val="1"/>
          <w:wAfter w:w="142" w:type="dxa"/>
        </w:trPr>
        <w:tc>
          <w:tcPr>
            <w:tcW w:w="8679" w:type="dxa"/>
          </w:tcPr>
          <w:p w:rsidR="00AE0763" w:rsidRDefault="00912C9B">
            <w:pPr>
              <w:tabs>
                <w:tab w:val="left" w:pos="426"/>
              </w:tabs>
              <w:spacing w:line="360" w:lineRule="auto"/>
              <w:ind w:left="426" w:right="-2"/>
              <w:jc w:val="both"/>
              <w:rPr>
                <w:sz w:val="28"/>
                <w:szCs w:val="28"/>
              </w:rPr>
            </w:pPr>
            <w:r>
              <w:rPr>
                <w:sz w:val="28"/>
                <w:szCs w:val="28"/>
              </w:rPr>
              <w:t>CHAPTER 1. DEVELOPMENT OF DEPRESSIVE AND ANXIETY DISORDERS AND BURNOUT SYNDROME IN NURSES. (REVIEW OF LITERATURE)</w:t>
            </w:r>
          </w:p>
        </w:tc>
        <w:tc>
          <w:tcPr>
            <w:tcW w:w="992" w:type="dxa"/>
            <w:gridSpan w:val="2"/>
          </w:tcPr>
          <w:p w:rsidR="00AE0763" w:rsidRDefault="00AE0763">
            <w:pPr>
              <w:spacing w:line="360" w:lineRule="auto"/>
              <w:ind w:left="35" w:right="-2"/>
              <w:jc w:val="both"/>
              <w:rPr>
                <w:sz w:val="28"/>
                <w:szCs w:val="28"/>
              </w:rPr>
            </w:pPr>
          </w:p>
          <w:p w:rsidR="00AE0763" w:rsidRDefault="00AE0763">
            <w:pPr>
              <w:spacing w:line="360" w:lineRule="auto"/>
              <w:ind w:left="35" w:right="-2"/>
              <w:jc w:val="both"/>
              <w:rPr>
                <w:sz w:val="28"/>
                <w:szCs w:val="28"/>
              </w:rPr>
            </w:pPr>
          </w:p>
          <w:p w:rsidR="00AE0763" w:rsidRDefault="00912C9B">
            <w:pPr>
              <w:spacing w:line="360" w:lineRule="auto"/>
              <w:ind w:left="35" w:right="-2"/>
              <w:jc w:val="both"/>
              <w:rPr>
                <w:sz w:val="28"/>
                <w:szCs w:val="28"/>
              </w:rPr>
            </w:pPr>
            <w:r>
              <w:rPr>
                <w:sz w:val="28"/>
                <w:szCs w:val="28"/>
              </w:rPr>
              <w:t>10</w:t>
            </w:r>
          </w:p>
        </w:tc>
      </w:tr>
      <w:tr w:rsidR="00AE0763">
        <w:trPr>
          <w:gridAfter w:val="1"/>
          <w:wAfter w:w="142" w:type="dxa"/>
        </w:trPr>
        <w:tc>
          <w:tcPr>
            <w:tcW w:w="8679" w:type="dxa"/>
          </w:tcPr>
          <w:p w:rsidR="00AE0763" w:rsidRDefault="00912C9B">
            <w:pPr>
              <w:tabs>
                <w:tab w:val="left" w:pos="426"/>
              </w:tabs>
              <w:spacing w:line="360" w:lineRule="auto"/>
              <w:ind w:left="426" w:right="-2"/>
              <w:jc w:val="both"/>
              <w:rPr>
                <w:sz w:val="28"/>
                <w:szCs w:val="28"/>
                <w:highlight w:val="white"/>
              </w:rPr>
            </w:pPr>
            <w:r>
              <w:rPr>
                <w:sz w:val="28"/>
                <w:szCs w:val="28"/>
                <w:highlight w:val="white"/>
              </w:rPr>
              <w:t>Conclusions to chapter I.</w:t>
            </w:r>
          </w:p>
          <w:p w:rsidR="00AE0763" w:rsidRDefault="00912C9B">
            <w:pPr>
              <w:tabs>
                <w:tab w:val="left" w:pos="426"/>
              </w:tabs>
              <w:spacing w:line="360" w:lineRule="auto"/>
              <w:ind w:left="426" w:right="-2"/>
              <w:jc w:val="both"/>
              <w:rPr>
                <w:sz w:val="28"/>
                <w:szCs w:val="28"/>
              </w:rPr>
            </w:pPr>
            <w:r>
              <w:rPr>
                <w:sz w:val="28"/>
                <w:szCs w:val="28"/>
              </w:rPr>
              <w:t>CHAPTER  2. THE OBJECT AND METHODS OF RESEARCH</w:t>
            </w:r>
          </w:p>
        </w:tc>
        <w:tc>
          <w:tcPr>
            <w:tcW w:w="992" w:type="dxa"/>
            <w:gridSpan w:val="2"/>
          </w:tcPr>
          <w:p w:rsidR="00AE0763" w:rsidRDefault="00912C9B">
            <w:pPr>
              <w:spacing w:line="360" w:lineRule="auto"/>
              <w:ind w:left="35" w:right="-2"/>
              <w:jc w:val="both"/>
              <w:rPr>
                <w:sz w:val="28"/>
                <w:szCs w:val="28"/>
              </w:rPr>
            </w:pPr>
            <w:r>
              <w:rPr>
                <w:sz w:val="28"/>
                <w:szCs w:val="28"/>
              </w:rPr>
              <w:t>21</w:t>
            </w:r>
          </w:p>
          <w:p w:rsidR="00AE0763" w:rsidRDefault="00912C9B">
            <w:pPr>
              <w:spacing w:line="360" w:lineRule="auto"/>
              <w:ind w:left="35" w:right="-2"/>
              <w:jc w:val="both"/>
              <w:rPr>
                <w:sz w:val="28"/>
                <w:szCs w:val="28"/>
              </w:rPr>
            </w:pPr>
            <w:r>
              <w:rPr>
                <w:sz w:val="28"/>
                <w:szCs w:val="28"/>
              </w:rPr>
              <w:t>22</w:t>
            </w:r>
          </w:p>
        </w:tc>
      </w:tr>
      <w:tr w:rsidR="00AE0763">
        <w:trPr>
          <w:gridAfter w:val="1"/>
          <w:wAfter w:w="142" w:type="dxa"/>
        </w:trPr>
        <w:tc>
          <w:tcPr>
            <w:tcW w:w="8679" w:type="dxa"/>
          </w:tcPr>
          <w:p w:rsidR="00AE0763" w:rsidRDefault="00912C9B">
            <w:pPr>
              <w:tabs>
                <w:tab w:val="left" w:pos="426"/>
              </w:tabs>
              <w:spacing w:line="360" w:lineRule="auto"/>
              <w:ind w:left="426" w:right="-2"/>
              <w:jc w:val="both"/>
              <w:rPr>
                <w:sz w:val="28"/>
                <w:szCs w:val="28"/>
                <w:highlight w:val="white"/>
              </w:rPr>
            </w:pPr>
            <w:r>
              <w:rPr>
                <w:sz w:val="28"/>
                <w:szCs w:val="28"/>
                <w:highlight w:val="white"/>
              </w:rPr>
              <w:t>Conclusions to chapter IІ.</w:t>
            </w:r>
          </w:p>
          <w:p w:rsidR="00AE0763" w:rsidRDefault="00912C9B">
            <w:pPr>
              <w:tabs>
                <w:tab w:val="left" w:pos="66"/>
                <w:tab w:val="left" w:pos="426"/>
              </w:tabs>
              <w:spacing w:line="360" w:lineRule="auto"/>
              <w:ind w:left="426" w:right="-2"/>
              <w:jc w:val="both"/>
              <w:rPr>
                <w:sz w:val="28"/>
                <w:szCs w:val="28"/>
                <w:highlight w:val="white"/>
              </w:rPr>
            </w:pPr>
            <w:r>
              <w:rPr>
                <w:sz w:val="28"/>
                <w:szCs w:val="28"/>
              </w:rPr>
              <w:t>CHAPTER  3. THE INCIDENCE OF DEPRESSION IN THE NURES.</w:t>
            </w:r>
          </w:p>
          <w:p w:rsidR="00AE0763" w:rsidRDefault="00912C9B">
            <w:pPr>
              <w:tabs>
                <w:tab w:val="left" w:pos="66"/>
                <w:tab w:val="left" w:pos="426"/>
              </w:tabs>
              <w:spacing w:line="360" w:lineRule="auto"/>
              <w:ind w:left="426" w:right="-2"/>
              <w:jc w:val="both"/>
              <w:rPr>
                <w:sz w:val="28"/>
                <w:szCs w:val="28"/>
                <w:highlight w:val="white"/>
              </w:rPr>
            </w:pPr>
            <w:r>
              <w:rPr>
                <w:sz w:val="28"/>
                <w:szCs w:val="28"/>
                <w:highlight w:val="white"/>
              </w:rPr>
              <w:t>3.1. Clinical characteristics of respondents.</w:t>
            </w:r>
          </w:p>
          <w:p w:rsidR="00AE0763" w:rsidRDefault="00912C9B">
            <w:pPr>
              <w:tabs>
                <w:tab w:val="left" w:pos="426"/>
              </w:tabs>
              <w:spacing w:line="360" w:lineRule="auto"/>
              <w:ind w:left="426" w:right="-2"/>
              <w:jc w:val="both"/>
              <w:rPr>
                <w:sz w:val="28"/>
                <w:szCs w:val="28"/>
              </w:rPr>
            </w:pPr>
            <w:r>
              <w:rPr>
                <w:sz w:val="28"/>
                <w:szCs w:val="28"/>
              </w:rPr>
              <w:t xml:space="preserve">3.2. </w:t>
            </w:r>
            <w:r>
              <w:rPr>
                <w:sz w:val="28"/>
                <w:szCs w:val="28"/>
                <w:highlight w:val="white"/>
              </w:rPr>
              <w:t>The level of depression and anxiety was recorded using the Beck Depression Scale.</w:t>
            </w:r>
          </w:p>
        </w:tc>
        <w:tc>
          <w:tcPr>
            <w:tcW w:w="992" w:type="dxa"/>
            <w:gridSpan w:val="2"/>
          </w:tcPr>
          <w:p w:rsidR="00AE0763" w:rsidRDefault="00912C9B">
            <w:pPr>
              <w:spacing w:line="360" w:lineRule="auto"/>
              <w:ind w:left="35" w:right="-2"/>
              <w:jc w:val="both"/>
              <w:rPr>
                <w:sz w:val="28"/>
                <w:szCs w:val="28"/>
              </w:rPr>
            </w:pPr>
            <w:r>
              <w:rPr>
                <w:sz w:val="28"/>
                <w:szCs w:val="28"/>
              </w:rPr>
              <w:t>26</w:t>
            </w:r>
          </w:p>
          <w:p w:rsidR="00AE0763" w:rsidRDefault="00912C9B">
            <w:pPr>
              <w:spacing w:line="360" w:lineRule="auto"/>
              <w:ind w:left="35" w:right="-2"/>
              <w:jc w:val="both"/>
              <w:rPr>
                <w:sz w:val="28"/>
                <w:szCs w:val="28"/>
              </w:rPr>
            </w:pPr>
            <w:r>
              <w:rPr>
                <w:sz w:val="28"/>
                <w:szCs w:val="28"/>
              </w:rPr>
              <w:t>27</w:t>
            </w:r>
          </w:p>
          <w:p w:rsidR="00AE0763" w:rsidRDefault="00912C9B">
            <w:pPr>
              <w:spacing w:line="360" w:lineRule="auto"/>
              <w:ind w:left="35" w:right="-2"/>
              <w:jc w:val="both"/>
              <w:rPr>
                <w:sz w:val="28"/>
                <w:szCs w:val="28"/>
              </w:rPr>
            </w:pPr>
            <w:r>
              <w:rPr>
                <w:sz w:val="28"/>
                <w:szCs w:val="28"/>
              </w:rPr>
              <w:t>27</w:t>
            </w:r>
          </w:p>
          <w:p w:rsidR="00AE0763" w:rsidRDefault="00AE0763">
            <w:pPr>
              <w:spacing w:line="360" w:lineRule="auto"/>
              <w:ind w:left="35" w:right="-2"/>
              <w:jc w:val="both"/>
              <w:rPr>
                <w:sz w:val="28"/>
                <w:szCs w:val="28"/>
              </w:rPr>
            </w:pPr>
          </w:p>
          <w:p w:rsidR="00AE0763" w:rsidRDefault="00912C9B">
            <w:pPr>
              <w:spacing w:line="360" w:lineRule="auto"/>
              <w:ind w:left="35" w:right="-2"/>
              <w:jc w:val="both"/>
              <w:rPr>
                <w:sz w:val="28"/>
                <w:szCs w:val="28"/>
              </w:rPr>
            </w:pPr>
            <w:r>
              <w:rPr>
                <w:sz w:val="28"/>
                <w:szCs w:val="28"/>
              </w:rPr>
              <w:t>33</w:t>
            </w:r>
          </w:p>
        </w:tc>
      </w:tr>
      <w:tr w:rsidR="00AE0763">
        <w:trPr>
          <w:gridAfter w:val="1"/>
          <w:wAfter w:w="142" w:type="dxa"/>
        </w:trPr>
        <w:tc>
          <w:tcPr>
            <w:tcW w:w="8679" w:type="dxa"/>
          </w:tcPr>
          <w:p w:rsidR="00AE0763" w:rsidRDefault="00912C9B">
            <w:pPr>
              <w:tabs>
                <w:tab w:val="left" w:pos="426"/>
              </w:tabs>
              <w:spacing w:line="360" w:lineRule="auto"/>
              <w:ind w:left="426" w:right="-2"/>
              <w:jc w:val="both"/>
              <w:rPr>
                <w:sz w:val="28"/>
                <w:szCs w:val="28"/>
              </w:rPr>
            </w:pPr>
            <w:r>
              <w:rPr>
                <w:sz w:val="28"/>
                <w:szCs w:val="28"/>
              </w:rPr>
              <w:t>3.3. Results of the survey of respondents on the HADS scale.</w:t>
            </w:r>
          </w:p>
        </w:tc>
        <w:tc>
          <w:tcPr>
            <w:tcW w:w="992" w:type="dxa"/>
            <w:gridSpan w:val="2"/>
          </w:tcPr>
          <w:p w:rsidR="00AE0763" w:rsidRDefault="00912C9B">
            <w:pPr>
              <w:spacing w:line="360" w:lineRule="auto"/>
              <w:ind w:left="35" w:right="-2"/>
              <w:jc w:val="both"/>
              <w:rPr>
                <w:sz w:val="28"/>
                <w:szCs w:val="28"/>
              </w:rPr>
            </w:pPr>
            <w:r>
              <w:rPr>
                <w:sz w:val="28"/>
                <w:szCs w:val="28"/>
              </w:rPr>
              <w:t>36</w:t>
            </w:r>
          </w:p>
        </w:tc>
      </w:tr>
      <w:tr w:rsidR="00AE0763">
        <w:trPr>
          <w:gridAfter w:val="1"/>
          <w:wAfter w:w="142" w:type="dxa"/>
        </w:trPr>
        <w:tc>
          <w:tcPr>
            <w:tcW w:w="8679" w:type="dxa"/>
          </w:tcPr>
          <w:p w:rsidR="00AE0763" w:rsidRDefault="00912C9B">
            <w:pPr>
              <w:tabs>
                <w:tab w:val="left" w:pos="426"/>
              </w:tabs>
              <w:spacing w:line="360" w:lineRule="auto"/>
              <w:ind w:left="426" w:right="-2"/>
              <w:jc w:val="both"/>
              <w:rPr>
                <w:sz w:val="28"/>
                <w:szCs w:val="28"/>
              </w:rPr>
            </w:pPr>
            <w:r>
              <w:rPr>
                <w:sz w:val="28"/>
                <w:szCs w:val="28"/>
              </w:rPr>
              <w:t>3.4 Results of the survey of respondents on the Likert scale.</w:t>
            </w:r>
          </w:p>
        </w:tc>
        <w:tc>
          <w:tcPr>
            <w:tcW w:w="992" w:type="dxa"/>
            <w:gridSpan w:val="2"/>
          </w:tcPr>
          <w:p w:rsidR="00AE0763" w:rsidRDefault="00912C9B">
            <w:pPr>
              <w:spacing w:line="360" w:lineRule="auto"/>
              <w:ind w:left="35" w:right="-2"/>
              <w:jc w:val="both"/>
              <w:rPr>
                <w:sz w:val="28"/>
                <w:szCs w:val="28"/>
              </w:rPr>
            </w:pPr>
            <w:r>
              <w:rPr>
                <w:sz w:val="28"/>
                <w:szCs w:val="28"/>
              </w:rPr>
              <w:t>38</w:t>
            </w:r>
          </w:p>
        </w:tc>
      </w:tr>
      <w:tr w:rsidR="00AE0763">
        <w:trPr>
          <w:gridAfter w:val="1"/>
          <w:wAfter w:w="142" w:type="dxa"/>
        </w:trPr>
        <w:tc>
          <w:tcPr>
            <w:tcW w:w="8679" w:type="dxa"/>
          </w:tcPr>
          <w:p w:rsidR="00AE0763" w:rsidRDefault="00912C9B">
            <w:pPr>
              <w:tabs>
                <w:tab w:val="left" w:pos="426"/>
              </w:tabs>
              <w:spacing w:line="360" w:lineRule="auto"/>
              <w:ind w:left="426" w:right="-2"/>
              <w:jc w:val="both"/>
              <w:rPr>
                <w:sz w:val="28"/>
                <w:szCs w:val="28"/>
              </w:rPr>
            </w:pPr>
            <w:r>
              <w:rPr>
                <w:sz w:val="28"/>
                <w:szCs w:val="28"/>
                <w:highlight w:val="white"/>
              </w:rPr>
              <w:t>Conclusions to chapter IІІ.</w:t>
            </w:r>
          </w:p>
        </w:tc>
        <w:tc>
          <w:tcPr>
            <w:tcW w:w="992" w:type="dxa"/>
            <w:gridSpan w:val="2"/>
          </w:tcPr>
          <w:p w:rsidR="00AE0763" w:rsidRDefault="00912C9B">
            <w:pPr>
              <w:spacing w:line="360" w:lineRule="auto"/>
              <w:ind w:left="35" w:right="-2"/>
              <w:jc w:val="both"/>
              <w:rPr>
                <w:sz w:val="28"/>
                <w:szCs w:val="28"/>
              </w:rPr>
            </w:pPr>
            <w:r>
              <w:rPr>
                <w:sz w:val="28"/>
                <w:szCs w:val="28"/>
              </w:rPr>
              <w:t>52</w:t>
            </w:r>
          </w:p>
        </w:tc>
      </w:tr>
      <w:tr w:rsidR="00AE0763">
        <w:trPr>
          <w:gridAfter w:val="1"/>
          <w:wAfter w:w="142" w:type="dxa"/>
        </w:trPr>
        <w:tc>
          <w:tcPr>
            <w:tcW w:w="8679" w:type="dxa"/>
          </w:tcPr>
          <w:p w:rsidR="00AE0763" w:rsidRDefault="00912C9B">
            <w:pPr>
              <w:tabs>
                <w:tab w:val="left" w:pos="426"/>
              </w:tabs>
              <w:spacing w:line="360" w:lineRule="auto"/>
              <w:ind w:left="426" w:right="-2"/>
              <w:jc w:val="both"/>
              <w:rPr>
                <w:sz w:val="28"/>
                <w:szCs w:val="28"/>
              </w:rPr>
            </w:pPr>
            <w:r>
              <w:rPr>
                <w:sz w:val="28"/>
                <w:szCs w:val="28"/>
              </w:rPr>
              <w:t>CONCLUSIONS</w:t>
            </w:r>
          </w:p>
        </w:tc>
        <w:tc>
          <w:tcPr>
            <w:tcW w:w="992" w:type="dxa"/>
            <w:gridSpan w:val="2"/>
          </w:tcPr>
          <w:p w:rsidR="00AE0763" w:rsidRDefault="00912C9B">
            <w:pPr>
              <w:spacing w:line="360" w:lineRule="auto"/>
              <w:ind w:left="35" w:right="-2"/>
              <w:jc w:val="both"/>
              <w:rPr>
                <w:sz w:val="28"/>
                <w:szCs w:val="28"/>
              </w:rPr>
            </w:pPr>
            <w:r>
              <w:rPr>
                <w:sz w:val="28"/>
                <w:szCs w:val="28"/>
              </w:rPr>
              <w:t>53</w:t>
            </w:r>
          </w:p>
        </w:tc>
      </w:tr>
      <w:tr w:rsidR="00AE0763">
        <w:trPr>
          <w:gridAfter w:val="1"/>
          <w:wAfter w:w="142" w:type="dxa"/>
        </w:trPr>
        <w:tc>
          <w:tcPr>
            <w:tcW w:w="8679" w:type="dxa"/>
          </w:tcPr>
          <w:p w:rsidR="00AE0763" w:rsidRDefault="00912C9B">
            <w:pPr>
              <w:tabs>
                <w:tab w:val="left" w:pos="426"/>
              </w:tabs>
              <w:spacing w:line="360" w:lineRule="auto"/>
              <w:ind w:left="426" w:right="139"/>
              <w:jc w:val="both"/>
              <w:rPr>
                <w:sz w:val="28"/>
                <w:szCs w:val="28"/>
              </w:rPr>
            </w:pPr>
            <w:r>
              <w:rPr>
                <w:sz w:val="28"/>
                <w:szCs w:val="28"/>
                <w:highlight w:val="white"/>
              </w:rPr>
              <w:t>PRACTICAL RECOMMENDATION</w:t>
            </w:r>
          </w:p>
        </w:tc>
        <w:tc>
          <w:tcPr>
            <w:tcW w:w="992" w:type="dxa"/>
            <w:gridSpan w:val="2"/>
          </w:tcPr>
          <w:p w:rsidR="00AE0763" w:rsidRDefault="00912C9B">
            <w:pPr>
              <w:spacing w:line="360" w:lineRule="auto"/>
              <w:ind w:left="35" w:right="-2"/>
              <w:jc w:val="both"/>
              <w:rPr>
                <w:sz w:val="28"/>
                <w:szCs w:val="28"/>
              </w:rPr>
            </w:pPr>
            <w:r>
              <w:rPr>
                <w:sz w:val="28"/>
                <w:szCs w:val="28"/>
              </w:rPr>
              <w:t>54</w:t>
            </w:r>
          </w:p>
        </w:tc>
      </w:tr>
      <w:tr w:rsidR="00AE0763">
        <w:trPr>
          <w:gridAfter w:val="1"/>
          <w:wAfter w:w="142" w:type="dxa"/>
        </w:trPr>
        <w:tc>
          <w:tcPr>
            <w:tcW w:w="8679" w:type="dxa"/>
          </w:tcPr>
          <w:p w:rsidR="00AE0763" w:rsidRDefault="00912C9B">
            <w:pPr>
              <w:tabs>
                <w:tab w:val="left" w:pos="426"/>
              </w:tabs>
              <w:spacing w:line="360" w:lineRule="auto"/>
              <w:ind w:left="426" w:right="-2"/>
              <w:jc w:val="both"/>
              <w:rPr>
                <w:sz w:val="28"/>
                <w:szCs w:val="28"/>
              </w:rPr>
            </w:pPr>
            <w:r>
              <w:rPr>
                <w:sz w:val="28"/>
                <w:szCs w:val="28"/>
              </w:rPr>
              <w:t>REFERENCES</w:t>
            </w:r>
          </w:p>
        </w:tc>
        <w:tc>
          <w:tcPr>
            <w:tcW w:w="992" w:type="dxa"/>
            <w:gridSpan w:val="2"/>
          </w:tcPr>
          <w:p w:rsidR="00AE0763" w:rsidRDefault="00912C9B">
            <w:pPr>
              <w:spacing w:line="360" w:lineRule="auto"/>
              <w:ind w:left="35" w:right="-2"/>
              <w:jc w:val="both"/>
              <w:rPr>
                <w:sz w:val="28"/>
                <w:szCs w:val="28"/>
              </w:rPr>
            </w:pPr>
            <w:r>
              <w:rPr>
                <w:sz w:val="28"/>
                <w:szCs w:val="28"/>
              </w:rPr>
              <w:t>56</w:t>
            </w:r>
          </w:p>
        </w:tc>
      </w:tr>
      <w:tr w:rsidR="00AE0763">
        <w:tc>
          <w:tcPr>
            <w:tcW w:w="8962" w:type="dxa"/>
            <w:gridSpan w:val="2"/>
          </w:tcPr>
          <w:p w:rsidR="00AE0763" w:rsidRDefault="00AE0763">
            <w:pPr>
              <w:tabs>
                <w:tab w:val="left" w:pos="426"/>
              </w:tabs>
              <w:spacing w:line="360" w:lineRule="auto"/>
              <w:ind w:left="426" w:right="-2"/>
              <w:jc w:val="both"/>
              <w:rPr>
                <w:sz w:val="28"/>
                <w:szCs w:val="28"/>
              </w:rPr>
            </w:pPr>
          </w:p>
        </w:tc>
        <w:tc>
          <w:tcPr>
            <w:tcW w:w="851" w:type="dxa"/>
            <w:gridSpan w:val="2"/>
          </w:tcPr>
          <w:p w:rsidR="00AE0763" w:rsidRDefault="00AE0763">
            <w:pPr>
              <w:tabs>
                <w:tab w:val="left" w:pos="426"/>
              </w:tabs>
              <w:spacing w:line="360" w:lineRule="auto"/>
              <w:ind w:left="426" w:right="-2"/>
              <w:jc w:val="both"/>
              <w:rPr>
                <w:sz w:val="28"/>
                <w:szCs w:val="28"/>
              </w:rPr>
            </w:pPr>
          </w:p>
        </w:tc>
      </w:tr>
    </w:tbl>
    <w:p w:rsidR="00AE0763" w:rsidRDefault="00AE0763">
      <w:pPr>
        <w:tabs>
          <w:tab w:val="left" w:pos="426"/>
        </w:tabs>
        <w:ind w:left="426" w:right="-2"/>
        <w:jc w:val="both"/>
        <w:rPr>
          <w:rFonts w:ascii="Times New Roman" w:eastAsia="Times New Roman" w:hAnsi="Times New Roman" w:cs="Times New Roman"/>
          <w:sz w:val="28"/>
          <w:szCs w:val="28"/>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br w:type="page"/>
      </w:r>
    </w:p>
    <w:p w:rsidR="00AE0763" w:rsidRDefault="00912C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426" w:right="13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LIST OF ABBREVIATIONS</w:t>
      </w:r>
    </w:p>
    <w:p w:rsidR="00AE0763" w:rsidRDefault="00AE0763">
      <w:pPr>
        <w:tabs>
          <w:tab w:val="left" w:pos="426"/>
        </w:tabs>
        <w:spacing w:line="360" w:lineRule="auto"/>
        <w:ind w:left="426" w:right="139" w:firstLine="992"/>
        <w:jc w:val="both"/>
        <w:rPr>
          <w:rFonts w:ascii="Times New Roman" w:eastAsia="Times New Roman" w:hAnsi="Times New Roman" w:cs="Times New Roman"/>
          <w:b/>
          <w:sz w:val="28"/>
          <w:szCs w:val="28"/>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BDI - Beck Depression Scale</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CDC - Centers for Disease Control and Prevention</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COVID-19 – Pandemia of Sars-Cov 2</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HADS - Hospital Anxiety and Depression Scale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HAS</w:t>
      </w:r>
      <w:r>
        <w:rPr>
          <w:rFonts w:ascii="Times New Roman" w:eastAsia="Times New Roman" w:hAnsi="Times New Roman" w:cs="Times New Roman"/>
          <w:sz w:val="28"/>
          <w:szCs w:val="28"/>
          <w:highlight w:val="white"/>
        </w:rPr>
        <w:t xml:space="preserve"> - </w:t>
      </w:r>
      <w:r>
        <w:rPr>
          <w:rFonts w:ascii="Times New Roman" w:eastAsia="Times New Roman" w:hAnsi="Times New Roman" w:cs="Times New Roman"/>
          <w:sz w:val="28"/>
          <w:szCs w:val="28"/>
        </w:rPr>
        <w:t>scale  for assessing anxiety</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HDS - scale for assessing depression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NAMI - National  Alliance  for  Mental  Illness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NIMH - National  Institute  of  Mental  Health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OBSE - organization-based  self-esteem   </w:t>
      </w:r>
    </w:p>
    <w:p w:rsidR="00AE0763" w:rsidRDefault="00912C9B">
      <w:pPr>
        <w:ind w:left="426" w:right="139"/>
      </w:pPr>
      <w:r>
        <w:br w:type="page"/>
      </w:r>
    </w:p>
    <w:p w:rsidR="00AE0763" w:rsidRDefault="00912C9B">
      <w:pPr>
        <w:tabs>
          <w:tab w:val="left" w:pos="426"/>
        </w:tabs>
        <w:spacing w:line="360" w:lineRule="auto"/>
        <w:ind w:left="426" w:right="139" w:firstLine="992"/>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INTRODUCTION</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modern paradigm of nursing forms the image of a “new type” nurse: an autonomous, highly qualified practitioner, able to work in the conditions of the latest medical technologies, adhere to the highest standards of professional ethics and deontology. In this sense, undoubtedly, high efficiency of activity can be ensured by optimal professional motivation in combination with professional education.</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problem of stress and stress resistance is a problem of today, which is becoming increasingly widespread. According to WHO reports, this problem became especially relevant after 2019 in connection with the COVID-19 pandemic. Nurses experienced significant emotional distress, in particular, they felt anxiety, fear and stress [1-4]. The COVID-19 pandemic has put an increased strain on healthcare systems worldwide. The increased workload on healthcare workers is also contributing to an increase in mental health problems among healthcare workers. In addition, nurses are under constant traumatic stress, as they see significant mortality from chronic diseases [1]. Excessive mental and physical strain on nurses has both short-term and long-term negative consequences for mental health and psychological well-being [5-6].</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According to the results of a systematic review of 13 studies (33,062 participants) (Pappa et al., 2020) [7], anxiety disorders were recorded in 23.2% of healthcare workers, depressive disorders in 22.8%, insomnia in 38.9%, and women and nurses had higher levels of affective symptoms. There are a number of objective difficulties in modern medicine: insufficient resources, lack of equipment, an incompletely established structure of the medical service, lack of experience in crisis work, and much more. Also, nurses often do not receive at all or receive very limited knowledge and skills in caring for their psychological state during their training or advanced training.</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Disturbance of the psycho-emotional state of nurses leads to an increase in the number of errors in professional activities, which, in turn, affects the effectiveness of the care provided.</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Today, the number of people with mental health disorders caused by psychogenetic factors that cause the so-called "diseases of civilization" has sharply increased. The high level of somatization of mental disorders, which are formed in the form of an adaptation disorder due to the influence of chronic psychosocial stress, is relevant. Without medical and psychological assistance, after 6 months, a person's maladaptation develops into a neurotic disorder of an anxiety-depressive nature, and in the absence of qualified assistance for more than two years, this neurotic disorder becomes resistant and rigid to drug treatment of somatic symptoms. Mental symptoms are often inadequately interpreted by medical professionals, with the appointment of only sedatives with an ineffective overall result. General practitioners may encounter from 30% to 57% of patients who do not consult for mental health problems at all. Among 80% of patients who consult general practitioners for various diseases, depressive disorders of varying severity and origin can be identified, among which non-psychotic forms of depressive disorders of the psycho-emotional sphere account for over 60%.</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above data on the increasing frequency of mental disorders in the population and the high risk of their development in nurses due to the nature of their work prompted us to conduct this study.</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The aim of the work:</w:t>
      </w:r>
      <w:r>
        <w:rPr>
          <w:rFonts w:ascii="Times New Roman" w:eastAsia="Times New Roman" w:hAnsi="Times New Roman" w:cs="Times New Roman"/>
          <w:sz w:val="28"/>
          <w:szCs w:val="28"/>
        </w:rPr>
        <w:t xml:space="preserve"> to identify the level of stress in nurses, namely its main signs of anxiety and depression, and to assess how much stress affects both the work of nurses and their daily activities.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To investigate whether patients notice that the stress that affects nurses impairs their practical skills.</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Research objective:</w:t>
      </w:r>
      <w:r>
        <w:rPr>
          <w:rFonts w:ascii="Times New Roman" w:eastAsia="Times New Roman" w:hAnsi="Times New Roman" w:cs="Times New Roman"/>
          <w:sz w:val="28"/>
          <w:szCs w:val="28"/>
        </w:rPr>
        <w:t xml:space="preserve"> to study and evaluate the incidence of depression in the nurses.</w:t>
      </w:r>
    </w:p>
    <w:p w:rsidR="00AE0763" w:rsidRDefault="00912C9B">
      <w:pPr>
        <w:tabs>
          <w:tab w:val="left" w:pos="426"/>
        </w:tabs>
        <w:spacing w:line="360" w:lineRule="auto"/>
        <w:ind w:left="426" w:right="139" w:firstLine="992"/>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Research tasks. </w:t>
      </w:r>
    </w:p>
    <w:p w:rsidR="00AE0763" w:rsidRDefault="00912C9B">
      <w:pPr>
        <w:numPr>
          <w:ilvl w:val="0"/>
          <w:numId w:val="4"/>
        </w:numPr>
        <w:pBdr>
          <w:top w:val="nil"/>
          <w:left w:val="nil"/>
          <w:bottom w:val="nil"/>
          <w:right w:val="nil"/>
          <w:between w:val="nil"/>
        </w:pBd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To evaluate the psycho-emotional sphere, particularly the level of depression of nurses in clinics.</w:t>
      </w:r>
    </w:p>
    <w:p w:rsidR="00AE0763" w:rsidRDefault="00912C9B">
      <w:pPr>
        <w:numPr>
          <w:ilvl w:val="0"/>
          <w:numId w:val="4"/>
        </w:numPr>
        <w:pBdr>
          <w:top w:val="nil"/>
          <w:left w:val="nil"/>
          <w:bottom w:val="nil"/>
          <w:right w:val="nil"/>
          <w:between w:val="nil"/>
        </w:pBd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To determine the frequency main signs of depression </w:t>
      </w:r>
    </w:p>
    <w:p w:rsidR="00AE0763" w:rsidRDefault="00912C9B">
      <w:pPr>
        <w:numPr>
          <w:ilvl w:val="0"/>
          <w:numId w:val="4"/>
        </w:numPr>
        <w:pBdr>
          <w:top w:val="nil"/>
          <w:left w:val="nil"/>
          <w:bottom w:val="nil"/>
          <w:right w:val="nil"/>
          <w:between w:val="nil"/>
        </w:pBd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To assess how much stress affects both the work of nurses and their daily activities</w:t>
      </w:r>
    </w:p>
    <w:p w:rsidR="00AE0763" w:rsidRDefault="00912C9B">
      <w:pPr>
        <w:numPr>
          <w:ilvl w:val="0"/>
          <w:numId w:val="4"/>
        </w:numPr>
        <w:pBdr>
          <w:top w:val="nil"/>
          <w:left w:val="nil"/>
          <w:bottom w:val="nil"/>
          <w:right w:val="nil"/>
          <w:between w:val="nil"/>
        </w:pBd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To study the integrated nursing approach in providing care and psychological support.</w:t>
      </w:r>
    </w:p>
    <w:p w:rsidR="00AE0763" w:rsidRDefault="00912C9B">
      <w:pPr>
        <w:numPr>
          <w:ilvl w:val="0"/>
          <w:numId w:val="4"/>
        </w:numPr>
        <w:pBdr>
          <w:top w:val="nil"/>
          <w:left w:val="nil"/>
          <w:bottom w:val="nil"/>
          <w:right w:val="nil"/>
          <w:between w:val="nil"/>
        </w:pBd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To provide recommendations for the prevention of depression and burnout syndrome in nurses.</w:t>
      </w:r>
    </w:p>
    <w:p w:rsidR="00AE0763" w:rsidRDefault="00912C9B">
      <w:pPr>
        <w:pStyle w:val="a4"/>
        <w:tabs>
          <w:tab w:val="left" w:pos="426"/>
        </w:tabs>
        <w:spacing w:after="0"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Research object</w:t>
      </w:r>
      <w:r>
        <w:rPr>
          <w:rFonts w:ascii="Times New Roman" w:eastAsia="Times New Roman" w:hAnsi="Times New Roman" w:cs="Times New Roman"/>
          <w:sz w:val="28"/>
          <w:szCs w:val="28"/>
        </w:rPr>
        <w:t>.  Clinic nursing staff.</w:t>
      </w:r>
    </w:p>
    <w:p w:rsidR="00AE0763" w:rsidRDefault="00912C9B">
      <w:pPr>
        <w:pStyle w:val="a4"/>
        <w:tabs>
          <w:tab w:val="left" w:pos="426"/>
        </w:tabs>
        <w:spacing w:after="0" w:line="360" w:lineRule="auto"/>
        <w:ind w:left="426" w:right="139" w:firstLine="992"/>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Research subject</w:t>
      </w:r>
      <w:r>
        <w:rPr>
          <w:rFonts w:ascii="Times New Roman" w:eastAsia="Times New Roman" w:hAnsi="Times New Roman" w:cs="Times New Roman"/>
          <w:sz w:val="28"/>
          <w:szCs w:val="28"/>
        </w:rPr>
        <w:t xml:space="preserve">. The frequency of stress in nurses, namely its main signs of anxiety and depression, and burnout syndrome.  </w:t>
      </w:r>
    </w:p>
    <w:p w:rsidR="00AE0763" w:rsidRDefault="00912C9B">
      <w:pPr>
        <w:pStyle w:val="a4"/>
        <w:tabs>
          <w:tab w:val="left" w:pos="426"/>
        </w:tabs>
        <w:spacing w:after="0"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Research methods</w:t>
      </w:r>
      <w:r>
        <w:rPr>
          <w:rFonts w:ascii="Times New Roman" w:eastAsia="Times New Roman" w:hAnsi="Times New Roman" w:cs="Times New Roman"/>
          <w:sz w:val="28"/>
          <w:szCs w:val="28"/>
        </w:rPr>
        <w:t xml:space="preserve">: </w:t>
      </w:r>
    </w:p>
    <w:p w:rsidR="00AE0763" w:rsidRDefault="00912C9B">
      <w:pPr>
        <w:pStyle w:val="a4"/>
        <w:numPr>
          <w:ilvl w:val="0"/>
          <w:numId w:val="7"/>
        </w:numPr>
        <w:tabs>
          <w:tab w:val="left" w:pos="426"/>
        </w:tabs>
        <w:spacing w:after="0"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Sociological methods (search, analysis and generalization of literary data; search, analysis and generalization of the scientific and methodological base of international institutions, analysis of statistical data). </w:t>
      </w:r>
    </w:p>
    <w:p w:rsidR="00AE0763" w:rsidRDefault="00912C9B">
      <w:pPr>
        <w:pStyle w:val="a4"/>
        <w:tabs>
          <w:tab w:val="left" w:pos="426"/>
        </w:tabs>
        <w:spacing w:after="0"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To conduct the study, a questionnaire was created for interviewing nurses based on the Hospital Anxiety and Depression Scale (HADS). </w:t>
      </w:r>
    </w:p>
    <w:p w:rsidR="00AE0763" w:rsidRDefault="00912C9B">
      <w:pPr>
        <w:pStyle w:val="a4"/>
        <w:tabs>
          <w:tab w:val="left" w:pos="426"/>
        </w:tabs>
        <w:spacing w:after="0"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assessment of psychological status, the presence and intensity of depression were assessed using the Beck Depression Inventory</w:t>
      </w:r>
    </w:p>
    <w:p w:rsidR="00AE0763" w:rsidRDefault="00912C9B">
      <w:pPr>
        <w:pStyle w:val="a4"/>
        <w:tabs>
          <w:tab w:val="left" w:pos="426"/>
        </w:tabs>
        <w:spacing w:after="0"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Logical generalization and systemic approach (the data obtained from the literature review were summarized, the main trends and features of the work of nurses in relation to elderly patients were identified);</w:t>
      </w:r>
    </w:p>
    <w:p w:rsidR="00AE0763" w:rsidRDefault="00912C9B">
      <w:pPr>
        <w:pStyle w:val="a4"/>
        <w:tabs>
          <w:tab w:val="left" w:pos="426"/>
        </w:tabs>
        <w:spacing w:after="0"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Theoretical: analysis, synthesis, systematization, generalization, modeling, classification, forecasting (based on the literature review and generalization)</w:t>
      </w:r>
    </w:p>
    <w:p w:rsidR="00AE0763" w:rsidRDefault="00912C9B">
      <w:pPr>
        <w:tabs>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Qualitative analysis (focus groups and interviews)</w:t>
      </w:r>
    </w:p>
    <w:p w:rsidR="00AE0763" w:rsidRDefault="00912C9B">
      <w:pPr>
        <w:tabs>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series of focus groups and semi-structured interviews were conducted among nurses.</w:t>
      </w:r>
    </w:p>
    <w:p w:rsidR="00AE0763" w:rsidRDefault="00912C9B">
      <w:pPr>
        <w:tabs>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Statistical analysis of data.</w:t>
      </w:r>
    </w:p>
    <w:p w:rsidR="00AE0763" w:rsidRDefault="00912C9B">
      <w:pPr>
        <w:tabs>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collected data were processed using descriptive statistics methods. To evaluate the results, the following were used:</w:t>
      </w:r>
    </w:p>
    <w:p w:rsidR="00AE0763" w:rsidRDefault="00912C9B">
      <w:pPr>
        <w:tabs>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calculation of average values and percentage distribution of responses;</w:t>
      </w:r>
    </w:p>
    <w:p w:rsidR="00AE0763" w:rsidRDefault="00912C9B">
      <w:pPr>
        <w:pStyle w:val="a4"/>
        <w:tabs>
          <w:tab w:val="left" w:pos="426"/>
        </w:tabs>
        <w:spacing w:after="0"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Scientific and practical significance of the study. </w:t>
      </w:r>
      <w:r>
        <w:rPr>
          <w:rFonts w:ascii="Times New Roman" w:eastAsia="Times New Roman" w:hAnsi="Times New Roman" w:cs="Times New Roman"/>
          <w:sz w:val="28"/>
          <w:szCs w:val="28"/>
        </w:rPr>
        <w:t xml:space="preserve">The scientific significance of this study lies in expanding the understanding about the frequency of stress in nurses, namely its main signs of anxiety and depression, and burnout </w:t>
      </w:r>
      <w:r>
        <w:rPr>
          <w:rFonts w:ascii="Times New Roman" w:eastAsia="Times New Roman" w:hAnsi="Times New Roman" w:cs="Times New Roman"/>
          <w:sz w:val="28"/>
          <w:szCs w:val="28"/>
        </w:rPr>
        <w:lastRenderedPageBreak/>
        <w:t>syndrome. The results of the study may shed light on the developed strategies and methods effectiveness of depression prevention and burnout syndrome in nurses. This will help improve the quality of care.</w:t>
      </w:r>
    </w:p>
    <w:p w:rsidR="00AE0763" w:rsidRDefault="00912C9B">
      <w:pPr>
        <w:pStyle w:val="a4"/>
        <w:tabs>
          <w:tab w:val="left" w:pos="426"/>
        </w:tabs>
        <w:spacing w:after="0"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practical significance of our study lies in the possibility of optimizing psychological support of nurses . The results will help develop more effective support programs of depression and burnout syndrome prevention in nurses. This may also contribute to reducing the levels of anxiety and depression of nurses.</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Structure of master thesis: </w:t>
      </w:r>
      <w:r>
        <w:rPr>
          <w:rFonts w:ascii="Times New Roman" w:eastAsia="Times New Roman" w:hAnsi="Times New Roman" w:cs="Times New Roman"/>
          <w:sz w:val="28"/>
          <w:szCs w:val="28"/>
        </w:rPr>
        <w:t>Introduction, literature review, object and research methods description, distribution of the results of one's own research, conclusions, practical recommendations and references to the literary sources used.</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Number of chapters – 3 </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Pages – 62,</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Tables – 3,</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Figures – 2.</w:t>
      </w:r>
    </w:p>
    <w:p w:rsidR="00AE0763" w:rsidRDefault="00AE0763">
      <w:pPr>
        <w:pStyle w:val="a4"/>
        <w:tabs>
          <w:tab w:val="left" w:pos="426"/>
        </w:tabs>
        <w:spacing w:after="0" w:line="360" w:lineRule="auto"/>
        <w:ind w:left="426" w:right="139" w:firstLine="992"/>
        <w:jc w:val="both"/>
        <w:rPr>
          <w:rFonts w:ascii="Times New Roman" w:eastAsia="Times New Roman" w:hAnsi="Times New Roman" w:cs="Times New Roman"/>
          <w:sz w:val="28"/>
          <w:szCs w:val="28"/>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bookmarkStart w:id="1" w:name="_g5bj5mc62pt" w:colFirst="0" w:colLast="0"/>
      <w:bookmarkEnd w:id="1"/>
      <w:r>
        <w:br w:type="page"/>
      </w:r>
    </w:p>
    <w:p w:rsidR="00AE0763" w:rsidRDefault="00912C9B">
      <w:pPr>
        <w:tabs>
          <w:tab w:val="left" w:pos="426"/>
        </w:tabs>
        <w:spacing w:line="360" w:lineRule="auto"/>
        <w:ind w:left="426" w:right="139" w:firstLine="992"/>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CHAPTER  1.</w:t>
      </w:r>
    </w:p>
    <w:p w:rsidR="00AE0763" w:rsidRDefault="00912C9B">
      <w:pPr>
        <w:pBdr>
          <w:top w:val="nil"/>
          <w:left w:val="nil"/>
          <w:bottom w:val="nil"/>
          <w:right w:val="nil"/>
          <w:between w:val="nil"/>
        </w:pBdr>
        <w:tabs>
          <w:tab w:val="left" w:pos="426"/>
        </w:tabs>
        <w:spacing w:line="360" w:lineRule="auto"/>
        <w:ind w:left="426" w:right="13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DEVELOPMENT OF DEPRESSIVE AND ANXIETY DISORDERS DEVELOPMENT AND BURNOUT SYNDROME IN NURSES. (REVIEW OF LITERATURE)</w:t>
      </w:r>
    </w:p>
    <w:p w:rsidR="00AE0763" w:rsidRDefault="00AE0763">
      <w:pPr>
        <w:pBdr>
          <w:top w:val="nil"/>
          <w:left w:val="nil"/>
          <w:bottom w:val="nil"/>
          <w:right w:val="nil"/>
          <w:between w:val="nil"/>
        </w:pBdr>
        <w:tabs>
          <w:tab w:val="left" w:pos="426"/>
        </w:tabs>
        <w:spacing w:line="360" w:lineRule="auto"/>
        <w:ind w:left="426" w:right="139"/>
        <w:jc w:val="both"/>
        <w:rPr>
          <w:rFonts w:ascii="Times New Roman" w:eastAsia="Times New Roman" w:hAnsi="Times New Roman" w:cs="Times New Roman"/>
          <w:sz w:val="28"/>
          <w:szCs w:val="28"/>
        </w:rPr>
      </w:pP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Depression is one of the most common mental disorders in the world [8]. According to the literature, the prevalence of depressive spectrum disorders in European countries and the USA is currently about 5-10%. Their lifetime prevalence is 16%, and within 12 months - about 7%. At the same time, the level of anxiety and depressive disorders is growing worldwide [9].</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Due to the tendency towards aging of the population of developed countries, the significant prevalence (36-50%) and the tendency towards prolonged, atypical course of depression in the elderly, the latter acquire special importance. According to the results of a study conducted among 60 thousand working people, those who care for the elderly and sick, and nannies who care for young children (11.3%), in second place are catering workers (10.3%), and in third place are medical workers (9.6%). People of creative professions - scientists, architects and engineers (4.3%) - are least prone to depression. Among the unemployed, this indicator was 12.7%.</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According to a survey of 37,000 adults in 10 countries in America, Europe, and Asia conducted by the International Consortium for Psychiatric Epidemiology (ICPE) using the World Health Organization-CIDI (World Health Organization Combined Diagnostic Interview) (Robins et al., 1988; Wittchen, 1994), the disease most often begins between the ages of 20 and 30 (Ebmeier et al., 2006). Women are twice as likely to suffer from depression as men (20-26% and 8-12%, respectively), but this may be due to the fact that men are less likely to seek medical help. In 60% of cases, inadequate therapy is associated with recurrent depressive episodes.</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Depression is a disease that affects the physical state of the body, mood, and psyche. It affects how a person eats and sleeps, how he or she treats himself, and how he or she perceives the world around him or her. Depression is not the </w:t>
      </w:r>
      <w:r>
        <w:rPr>
          <w:rFonts w:ascii="Times New Roman" w:eastAsia="Times New Roman" w:hAnsi="Times New Roman" w:cs="Times New Roman"/>
          <w:sz w:val="28"/>
          <w:szCs w:val="28"/>
        </w:rPr>
        <w:lastRenderedPageBreak/>
        <w:t>same as being in a bad mood. It is not a sign of weakness or a condition that can be overcome by willpower or desire. People suffering from depression cannot simply "pull themselves together" and recover. If left untreated, symptoms of the disease can last for weeks, months, or years. However, with the right treatment, most people, suffering from depression, can be helped.</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According to statistics, 15-20% of people on Earth experience at least one episode of depression during their lives.</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Manifestations of depression can be diverse, but they are all associated with a change in mood and attitude to the events of everyday life, characterized by feelings of depression, hopelessness and helplessness. Interest in life and all pleasures decreases, the desire to communicate with others disappears, pessimistic thoughts about the futility of life and one's own uselessness arise, and thoughts of suicide may even appear. A depressive state affects work capacity, motivation and assessment of life events and can cause life problems.</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Main manifestations of depression:</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Depressed mood, which is observed for most of the day almost every day, especially in the morning hours, for two weeks or more, regardless of external circumstances.</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A noticeable decrease or complete loss of interest and pleasure in activities that were usually associated with positive emotions.</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Unmotivated decrease in energy and activity, increased fatigue during physical and intellectual exertion.</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Decreased self-esteem, self-confidence, feelings of guilt, helplessness, confusion, uncertainty in one's actions, inability to make decisions or concentrate.</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Other complaints are often observed - excessive drowsiness or insomnia, anxiety and restlessness, irritability, apathy, tearfulness, appetite disturbances, weight loss or gain may occur.</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There are </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biological, </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psychological </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and social causes of depression. </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Biological causes include disturbances in brain biochemical processes, which leads to changes in the concentration of biologically active substances such as serotonin, noradrenaline and dopamine. Such disorders can be hereditary. </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There can be several psychological causes of depression. </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Firstly, these are personal relationships: </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in the family, at work, with friends, which are characterized by excessive criticism and an increased level of conflict, and secondly, stressful situations </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the death of loved ones, divorce, loss of job. An important factor is social isolation </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the absence or insufficiency of trusting contacts and emotional support. </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Social factors also include increased stress levels and social instability, which are characteristic features of modern life. </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basis for the development of depressive disorders can also be overfatigue or a serious illness with a long course, especially when it leads to disability.</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shd w:val="clear" w:color="auto" w:fill="EDFAFF"/>
        </w:rPr>
      </w:pPr>
      <w:r>
        <w:rPr>
          <w:rFonts w:ascii="Times New Roman" w:eastAsia="Times New Roman" w:hAnsi="Times New Roman" w:cs="Times New Roman"/>
          <w:sz w:val="28"/>
          <w:szCs w:val="28"/>
        </w:rPr>
        <w:t xml:space="preserve">Nurses frequently experience  burnout  and  depression  as  a  result  of  their  demanding  and  stressful  jobs. </w:t>
      </w:r>
      <w:r>
        <w:rPr>
          <w:rFonts w:ascii="Times New Roman" w:eastAsia="Times New Roman" w:hAnsi="Times New Roman" w:cs="Times New Roman"/>
          <w:sz w:val="28"/>
          <w:szCs w:val="28"/>
          <w:highlight w:val="white"/>
        </w:rPr>
        <w:t xml:space="preserve">Research  on  the  discriminant  validity  of  burnout  measures  in  relation  to  depression  measures  has  been  equivocal,  despite  the  fact  that  the  symptoms  overlap. </w:t>
      </w:r>
      <w:r>
        <w:rPr>
          <w:rFonts w:ascii="Times New Roman" w:eastAsia="Times New Roman" w:hAnsi="Times New Roman" w:cs="Times New Roman"/>
          <w:sz w:val="28"/>
          <w:szCs w:val="28"/>
        </w:rPr>
        <w:t>Because  of  this  ambiguous  discriminant  validity,  physicians  may  not  be  able  to  distinguish  and  treat  depression  from  burnout.</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shd w:val="clear" w:color="auto" w:fill="EDFAFF"/>
        </w:rPr>
      </w:pPr>
      <w:r>
        <w:rPr>
          <w:rFonts w:ascii="Times New Roman" w:eastAsia="Times New Roman" w:hAnsi="Times New Roman" w:cs="Times New Roman"/>
          <w:sz w:val="28"/>
          <w:szCs w:val="28"/>
        </w:rPr>
        <w:t xml:space="preserve">The  prevalence  of  depression  among  registered  nurses  is  nearly  double  that  of  those  in  other  occupations. </w:t>
      </w:r>
      <w:r>
        <w:rPr>
          <w:rFonts w:ascii="Times New Roman" w:eastAsia="Times New Roman" w:hAnsi="Times New Roman" w:cs="Times New Roman"/>
          <w:sz w:val="28"/>
          <w:szCs w:val="28"/>
          <w:highlight w:val="white"/>
        </w:rPr>
        <w:t xml:space="preserve">Organizations  and  employees  are  both  impacted  by  major  depression. Decreased  productivity  and  presenteeism,  short-term  incapacity,  and  increased  absenteeism  from  work  are  all  associated  with  depression. Recognizing  the  existence  and  prevalence  of  depression  in  the  workplace  is  crucial,  even  though  it  may  not  be  entirely  prevented  for  registered  nurses. </w:t>
      </w:r>
      <w:r>
        <w:rPr>
          <w:rFonts w:ascii="Times New Roman" w:eastAsia="Times New Roman" w:hAnsi="Times New Roman" w:cs="Times New Roman"/>
          <w:sz w:val="28"/>
          <w:szCs w:val="28"/>
        </w:rPr>
        <w:t>To  guarantee  that  high-quality  patient  outcomes  are  obtained,  we  must  have  a  workforce  of  registered  nurses  that  are  present,  healthy,  and  active [16].</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shd w:val="clear" w:color="auto" w:fill="EDFAFF"/>
        </w:rPr>
      </w:pPr>
      <w:r>
        <w:rPr>
          <w:rFonts w:ascii="Times New Roman" w:eastAsia="Times New Roman" w:hAnsi="Times New Roman" w:cs="Times New Roman"/>
          <w:sz w:val="28"/>
          <w:szCs w:val="28"/>
        </w:rPr>
        <w:lastRenderedPageBreak/>
        <w:t>Over  350  million  people  are  thought  to  suffer  from  depression</w:t>
      </w:r>
      <w:r>
        <w:rPr>
          <w:rFonts w:ascii="Times New Roman" w:eastAsia="Times New Roman" w:hAnsi="Times New Roman" w:cs="Times New Roman"/>
          <w:sz w:val="28"/>
          <w:szCs w:val="28"/>
          <w:shd w:val="clear" w:color="auto" w:fill="EDFAFF"/>
        </w:rPr>
        <w:t xml:space="preserve">  </w:t>
      </w:r>
      <w:r>
        <w:rPr>
          <w:rFonts w:ascii="Times New Roman" w:eastAsia="Times New Roman" w:hAnsi="Times New Roman" w:cs="Times New Roman"/>
          <w:sz w:val="28"/>
          <w:szCs w:val="28"/>
        </w:rPr>
        <w:t xml:space="preserve">[17]. </w:t>
      </w:r>
      <w:r>
        <w:rPr>
          <w:rFonts w:ascii="Times New Roman" w:eastAsia="Times New Roman" w:hAnsi="Times New Roman" w:cs="Times New Roman"/>
          <w:sz w:val="28"/>
          <w:szCs w:val="28"/>
          <w:highlight w:val="white"/>
        </w:rPr>
        <w:t xml:space="preserve">An  estimated  20%  of  people  worldwide  report  having  experienced  a  depressive  episode  in  the  past  12  months  (WHO,  2012). Over  16  million  adults  in  the  US  experienced  at  least  one  major  depressive  episode  within  the  past  12  months  (National  Institute  of  Mental  Health  [NIMH],  2014;  National  Alliance  for  Mental  Illness  [NAMI],  2015). According  to  CDC  estimates,  one  in  ten  American  people  will  experience  depression  at  some  point  in  their  lives  (CDC,  2012). The  most  prevalent  mental  illness  in  the  US  is  major  depressive  disorder,  also  known  as  depression  (NAMI,  2008). Each  person  experiences  depression  and  its  related  symptoms  in  a  unique  way. According  to  NAMI  (2015)  and  NIMH  (2014),  depression  is  typically  characterized  by  a  lack  of  interest  in  once-pleasurable  activities  or  hobbies,  persistent  feelings  of  sadness,  anxiety,  or  emptiness,  emotions  of  hopelessness  or  pessimism,  feelings  of  guilt,  worthlessness,  or  helplessness,  irritability  and  restlessness. Other  symptoms  include  exhaustion  and  low  energy;  trouble  focusing,  remembering  specifics,  and  making  decisions;  insomnia,  excessive  sleeping,  or  early  morning  wakefulness;  overeating  or  loss  of  appetite;  suicidal  thoughts  and  attempts;  headaches,  cramps,  aches  or  pains,  or  digestive  issues  that  do  not  go  away  despite  treatment  (NAMI,  2015;  NIMH,  2014). Significant  functional  deficits  may  result  from  these  issues  if  they  persist  or  become  recurrent. </w:t>
      </w:r>
      <w:r>
        <w:rPr>
          <w:rFonts w:ascii="Times New Roman" w:eastAsia="Times New Roman" w:hAnsi="Times New Roman" w:cs="Times New Roman"/>
          <w:sz w:val="28"/>
          <w:szCs w:val="28"/>
        </w:rPr>
        <w:t>Both  organizational  productivity  and  employee  performance  are  impacted  by  major  depression</w:t>
      </w:r>
      <w:r>
        <w:rPr>
          <w:rFonts w:ascii="Times New Roman" w:eastAsia="Times New Roman" w:hAnsi="Times New Roman" w:cs="Times New Roman"/>
          <w:sz w:val="28"/>
          <w:szCs w:val="28"/>
          <w:shd w:val="clear" w:color="auto" w:fill="EDFAFF"/>
        </w:rPr>
        <w:t xml:space="preserve"> </w:t>
      </w:r>
      <w:r>
        <w:rPr>
          <w:rFonts w:ascii="Times New Roman" w:eastAsia="Times New Roman" w:hAnsi="Times New Roman" w:cs="Times New Roman"/>
          <w:sz w:val="28"/>
          <w:szCs w:val="28"/>
        </w:rPr>
        <w:t>[18].</w:t>
      </w:r>
      <w:r>
        <w:rPr>
          <w:rFonts w:ascii="Times New Roman" w:eastAsia="Times New Roman" w:hAnsi="Times New Roman" w:cs="Times New Roman"/>
          <w:sz w:val="28"/>
          <w:szCs w:val="28"/>
          <w:shd w:val="clear" w:color="auto" w:fill="EDFAFF"/>
        </w:rPr>
        <w:t xml:space="preserve"> </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Nursing  creates  a  loving  and  caring  connection  that  unites  human  society. </w:t>
      </w:r>
      <w:r>
        <w:rPr>
          <w:rFonts w:ascii="Times New Roman" w:eastAsia="Times New Roman" w:hAnsi="Times New Roman" w:cs="Times New Roman"/>
          <w:sz w:val="28"/>
          <w:szCs w:val="28"/>
          <w:highlight w:val="white"/>
        </w:rPr>
        <w:t xml:space="preserve">Patients  frequently  encounter  nurses  as  their  first  healthcare  provider. Patient  care  quality  and  nursing  staff  performance  are  closely  related. These  nurses  will  not  be  able  to  devote  their  entire  focus  to  this  difficult  duty  if  their  mental  health  is  problematic. These  days,  every  effort  to  combat  the  sicknesses  of  healthcare  personnel  is  crucial. In  addition  to  providing  information  on  the  prevalence  of  anxiety  and  depression  among  nurses,  this  descriptive  cross-sectional  study  will  allow  nursing  staff  members  to  communicate  the  challenges  they  face  in  their  work  at  a  South  Indian  </w:t>
      </w:r>
      <w:r>
        <w:rPr>
          <w:rFonts w:ascii="Times New Roman" w:eastAsia="Times New Roman" w:hAnsi="Times New Roman" w:cs="Times New Roman"/>
          <w:sz w:val="28"/>
          <w:szCs w:val="28"/>
          <w:highlight w:val="white"/>
        </w:rPr>
        <w:lastRenderedPageBreak/>
        <w:t xml:space="preserve">tertiary  care  hospital. The  purpose  of  this  study  was  to  determine  the  prevalence  of  anxiety  and  depression  among  nurses  employed  by  a  tertiary  care  hospital  as  well  as  the  relationship  between  several  factors  that  affect  nurses'  levels  of  anxiety  and  depression </w:t>
      </w:r>
      <w:r>
        <w:rPr>
          <w:rFonts w:ascii="Times New Roman" w:eastAsia="Times New Roman" w:hAnsi="Times New Roman" w:cs="Times New Roman"/>
          <w:sz w:val="28"/>
          <w:szCs w:val="28"/>
        </w:rPr>
        <w:t>[19].</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Nurses  frequently  experience  burnout  and  depression  as  a  result  of  their  demanding  and  stressful  jobs.</w:t>
      </w:r>
      <w:r>
        <w:rPr>
          <w:rFonts w:ascii="Times New Roman" w:eastAsia="Times New Roman" w:hAnsi="Times New Roman" w:cs="Times New Roman"/>
          <w:sz w:val="28"/>
          <w:szCs w:val="28"/>
          <w:shd w:val="clear" w:color="auto" w:fill="EDFAFF"/>
        </w:rPr>
        <w:t xml:space="preserve"> </w:t>
      </w:r>
      <w:r>
        <w:rPr>
          <w:rFonts w:ascii="Times New Roman" w:eastAsia="Times New Roman" w:hAnsi="Times New Roman" w:cs="Times New Roman"/>
          <w:sz w:val="28"/>
          <w:szCs w:val="28"/>
          <w:highlight w:val="white"/>
        </w:rPr>
        <w:t xml:space="preserve">Research  on  the  discriminant  validity  of  burnout  measures  in  relation  to  depression  measures  has  been  equivocal,  despite  the  fact  that  the  symptoms  overlap. </w:t>
      </w:r>
      <w:r>
        <w:rPr>
          <w:rFonts w:ascii="Times New Roman" w:eastAsia="Times New Roman" w:hAnsi="Times New Roman" w:cs="Times New Roman"/>
          <w:sz w:val="28"/>
          <w:szCs w:val="28"/>
        </w:rPr>
        <w:t>Because  of  this  ambiguous  discriminant  validity,  physicians  may  not  be  able  to  distinguish  and  treat  depression  from  burnout [20].</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There are many studies in the world literature on the occurrence of burnout syndrome among nursing mothers, in particular among oncologists and oncology nurses [21], mental health nurses [22], cardiac nurses [24], surgical nurses [26]. </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Тhe relationship between the nursing shortage and nurses' job satisfaction, stress and burnout levels in oncology/haematology settings were investigated [23, 25].</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lot of research describes the mental problems of nurses during the COVID pandemic [27-30].</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Separate study  adds  to  the  body  of  research  covering  a  range  of  professions  by  confirming  a  significant  association  between  burnout  and  depression  in  nursing  samples. </w:t>
      </w:r>
      <w:r>
        <w:rPr>
          <w:rFonts w:ascii="Times New Roman" w:eastAsia="Times New Roman" w:hAnsi="Times New Roman" w:cs="Times New Roman"/>
          <w:sz w:val="28"/>
          <w:szCs w:val="28"/>
        </w:rPr>
        <w:t>In  order  to  evaluate  the  causal  relationship  and  look  at  possible  moderators,  future  research  should  concentrate  on  route  analysis [31].</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During  the  pandemic,  nurses  and  doctors  who  worked  in  cardiology  and  oncology  care  settings  frequently  experienced  high  levels  of  distress,  which  was  associated  with  both  internal  and  external  causes. These  findings  highlight  the  contextual  and  multifaceted  nature  of  clinician  distress  and  the  necessity  of  creating  focused  strategies  to  deal  with  this  issue </w:t>
      </w:r>
      <w:r>
        <w:rPr>
          <w:rFonts w:ascii="Times New Roman" w:eastAsia="Times New Roman" w:hAnsi="Times New Roman" w:cs="Times New Roman"/>
          <w:sz w:val="28"/>
          <w:szCs w:val="28"/>
        </w:rPr>
        <w:t>[32].</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Scientists from Spain studied in a separate studied Personality Factors as Predictors in Burnout Level Changes for Surgical Area Nurses. </w:t>
      </w:r>
      <w:r>
        <w:rPr>
          <w:rFonts w:ascii="Times New Roman" w:eastAsia="Times New Roman" w:hAnsi="Times New Roman" w:cs="Times New Roman"/>
          <w:sz w:val="28"/>
          <w:szCs w:val="28"/>
        </w:rPr>
        <w:t xml:space="preserve">Throughout  the  </w:t>
      </w:r>
      <w:r>
        <w:rPr>
          <w:rFonts w:ascii="Times New Roman" w:eastAsia="Times New Roman" w:hAnsi="Times New Roman" w:cs="Times New Roman"/>
          <w:sz w:val="28"/>
          <w:szCs w:val="28"/>
        </w:rPr>
        <w:lastRenderedPageBreak/>
        <w:t>surgical  procedure, nurses in surgical  area  give  patients  complete  care.</w:t>
      </w:r>
      <w:r>
        <w:rPr>
          <w:rFonts w:ascii="Times New Roman" w:eastAsia="Times New Roman" w:hAnsi="Times New Roman" w:cs="Times New Roman"/>
          <w:sz w:val="28"/>
          <w:szCs w:val="28"/>
          <w:shd w:val="clear" w:color="auto" w:fill="EDFAFF"/>
        </w:rPr>
        <w:t xml:space="preserve"> </w:t>
      </w:r>
      <w:r>
        <w:rPr>
          <w:rFonts w:ascii="Times New Roman" w:eastAsia="Times New Roman" w:hAnsi="Times New Roman" w:cs="Times New Roman"/>
          <w:sz w:val="28"/>
          <w:szCs w:val="28"/>
          <w:highlight w:val="white"/>
        </w:rPr>
        <w:t xml:space="preserve">Life  expectancy  growth  cause  diseases  to  emerge  and  worsen,  which  increases  the  number  of  interventions  that  are  required. Workload rise may  also  be  a  risk  factor  for  burnout  among  professionals  working  in  this  field. Relevant information  regarding  level  changes  in  the  burnout  syndrome  components  can  be  obtained  by  understanding  psychological  and  personality-related  variables. For  each  parameter,  three  logistic  regression  models  were  constructed  using  data  from  a  cross-sectional  study  involving  214  nurses  employed  in  the  surgical  department  of  the  Andalusian  Health  Service  in  Spain. These  models  contained  a  variety  of  personality  and  depression-related  variables,  some  of  which  were  significant  at  the  population  level  and,  as  a  result,  actual  risk  or  protective  factors. Neuroticism  is  a  risk  factor  for  the  personal  accomplishment  dimension,  whereas  extraversion,  friendliness,  and  responsibility  are  protective  variables. While  depression  is  a  risk  factor  for  depersonalization,  friendliness protects  against  it. </w:t>
      </w:r>
      <w:r>
        <w:rPr>
          <w:rFonts w:ascii="Times New Roman" w:eastAsia="Times New Roman" w:hAnsi="Times New Roman" w:cs="Times New Roman"/>
          <w:sz w:val="28"/>
          <w:szCs w:val="28"/>
        </w:rPr>
        <w:t xml:space="preserve">Lastly,  risk  factors  for  the  emotional  tiredness  aspect  of  burnout  include  neuroticism,  responsibility,  and  depression. </w:t>
      </w:r>
      <w:r>
        <w:rPr>
          <w:rFonts w:ascii="Times New Roman" w:eastAsia="Times New Roman" w:hAnsi="Times New Roman" w:cs="Times New Roman"/>
          <w:sz w:val="28"/>
          <w:szCs w:val="28"/>
          <w:highlight w:val="white"/>
        </w:rPr>
        <w:t xml:space="preserve">These  results  offer  pertinent  information  that  facilitates  the  prediction  of  this  illness  in  this  population </w:t>
      </w:r>
      <w:r>
        <w:rPr>
          <w:rFonts w:ascii="Times New Roman" w:eastAsia="Times New Roman" w:hAnsi="Times New Roman" w:cs="Times New Roman"/>
          <w:sz w:val="28"/>
          <w:szCs w:val="28"/>
        </w:rPr>
        <w:t>[33].</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The Nurse  burnout  during  the  COVID-19  pandemic  was  linked  to  a  complicated  work  environment,  the  role  of  relationships  with  family  and  friends. </w:t>
      </w:r>
      <w:r>
        <w:rPr>
          <w:rFonts w:ascii="Times New Roman" w:eastAsia="Times New Roman" w:hAnsi="Times New Roman" w:cs="Times New Roman"/>
          <w:sz w:val="28"/>
          <w:szCs w:val="28"/>
          <w:highlight w:val="white"/>
        </w:rPr>
        <w:t xml:space="preserve">This  research results enables  us  to  reconsider  the  significance  of  parent-child  connections  and  family  life  in  high-stress  job  settings were </w:t>
      </w:r>
      <w:r>
        <w:rPr>
          <w:rFonts w:ascii="Times New Roman" w:eastAsia="Times New Roman" w:hAnsi="Times New Roman" w:cs="Times New Roman"/>
          <w:sz w:val="28"/>
          <w:szCs w:val="28"/>
        </w:rPr>
        <w:t>[34].</w:t>
      </w:r>
    </w:p>
    <w:p w:rsidR="00AE0763" w:rsidRDefault="00912C9B">
      <w:pPr>
        <w:tabs>
          <w:tab w:val="left" w:pos="426"/>
        </w:tabs>
        <w:spacing w:line="360" w:lineRule="auto"/>
        <w:ind w:left="426" w:right="139" w:firstLine="992"/>
        <w:jc w:val="both"/>
        <w:rPr>
          <w:rFonts w:ascii="Times New Roman" w:eastAsia="Times New Roman" w:hAnsi="Times New Roman" w:cs="Times New Roman"/>
          <w:smallCaps/>
          <w:sz w:val="28"/>
          <w:szCs w:val="28"/>
        </w:rPr>
      </w:pPr>
      <w:r>
        <w:rPr>
          <w:rFonts w:ascii="Times New Roman" w:eastAsia="Times New Roman" w:hAnsi="Times New Roman" w:cs="Times New Roman"/>
          <w:sz w:val="28"/>
          <w:szCs w:val="28"/>
        </w:rPr>
        <w:t>The finding  and  putting  into  practice  efficient  occupation-specific  preventative,  intervention,  and  mitigation  techniques  that  address  organizational  and  individual  factors  negatively  impacting  mental  health  is  essential  to  ensuring  a  strong  health  care  workforce were also described</w:t>
      </w:r>
      <w:r>
        <w:rPr>
          <w:rFonts w:ascii="Times New Roman" w:eastAsia="Times New Roman" w:hAnsi="Times New Roman" w:cs="Times New Roman"/>
          <w:sz w:val="28"/>
          <w:szCs w:val="28"/>
          <w:shd w:val="clear" w:color="auto" w:fill="EDFAFF"/>
        </w:rPr>
        <w:t xml:space="preserve"> </w:t>
      </w:r>
      <w:r>
        <w:rPr>
          <w:rFonts w:ascii="Times New Roman" w:eastAsia="Times New Roman" w:hAnsi="Times New Roman" w:cs="Times New Roman"/>
          <w:sz w:val="28"/>
          <w:szCs w:val="28"/>
        </w:rPr>
        <w:t>[35].</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The  knowledge  of  at-risk  groups  employed  by  hospitals  has  improved  as  a  result  of  these  updated  findings there are. To  lessen  potential  long-term  effects,  targeted  support  and  study  about  these  variations  in  mental  health  risks  are  advised </w:t>
      </w:r>
      <w:r>
        <w:rPr>
          <w:rFonts w:ascii="Times New Roman" w:eastAsia="Times New Roman" w:hAnsi="Times New Roman" w:cs="Times New Roman"/>
          <w:sz w:val="28"/>
          <w:szCs w:val="28"/>
        </w:rPr>
        <w:t>[36].</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For  clinicians  to  fully  comprehend  the  spectrum  of  mental  health  concerns,  an  integrative  approach  is  necessary. A  crucial  component  of  professional  interventions  that  should  mainly  impact  front-line  professionals  with  little  experience  is  the  meaning  of our work </w:t>
      </w:r>
      <w:r>
        <w:rPr>
          <w:rFonts w:ascii="Times New Roman" w:eastAsia="Times New Roman" w:hAnsi="Times New Roman" w:cs="Times New Roman"/>
          <w:sz w:val="28"/>
          <w:szCs w:val="28"/>
        </w:rPr>
        <w:t>[37].</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Nurse  burnout  was  linked  to  decreased  patient  satisfaction  and  health  care  quality  and  safety,  according  to  this  comprehensive  review  and  meta-analysis. </w:t>
      </w:r>
      <w:r>
        <w:rPr>
          <w:rFonts w:ascii="Times New Roman" w:eastAsia="Times New Roman" w:hAnsi="Times New Roman" w:cs="Times New Roman"/>
          <w:sz w:val="28"/>
          <w:szCs w:val="28"/>
          <w:highlight w:val="white"/>
        </w:rPr>
        <w:t xml:space="preserve">This  correlation  held  true  for  both  study  and  nurse  characteristics </w:t>
      </w:r>
      <w:r>
        <w:rPr>
          <w:rFonts w:ascii="Times New Roman" w:eastAsia="Times New Roman" w:hAnsi="Times New Roman" w:cs="Times New Roman"/>
          <w:sz w:val="28"/>
          <w:szCs w:val="28"/>
        </w:rPr>
        <w:t xml:space="preserve">[38]. </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The  results  of  separate study  highlight  how  crucial  sleep  duration  is  in  determining  the  prevalence  of  burnout  among  medical  professionals.</w:t>
      </w:r>
      <w:r>
        <w:rPr>
          <w:rFonts w:ascii="Times New Roman" w:eastAsia="Times New Roman" w:hAnsi="Times New Roman" w:cs="Times New Roman"/>
          <w:sz w:val="28"/>
          <w:szCs w:val="28"/>
          <w:shd w:val="clear" w:color="auto" w:fill="EDFAFF"/>
        </w:rPr>
        <w:t xml:space="preserve"> </w:t>
      </w:r>
      <w:r>
        <w:rPr>
          <w:rFonts w:ascii="Times New Roman" w:eastAsia="Times New Roman" w:hAnsi="Times New Roman" w:cs="Times New Roman"/>
          <w:sz w:val="28"/>
          <w:szCs w:val="28"/>
          <w:highlight w:val="white"/>
        </w:rPr>
        <w:t xml:space="preserve">Our  findings  underline  the  pressing  need  for  organizational  and  individual  initiatives  to  be  implemented  in  view  of  the  worldwide  issues  affecting  these  professionals'  mental  and  physical  health. This  entails  encouraging  greater  work-life  balance,  stress  reduction,  and  higher-quality  sleep </w:t>
      </w:r>
      <w:r>
        <w:rPr>
          <w:rFonts w:ascii="Times New Roman" w:eastAsia="Times New Roman" w:hAnsi="Times New Roman" w:cs="Times New Roman"/>
          <w:sz w:val="28"/>
          <w:szCs w:val="28"/>
        </w:rPr>
        <w:t>[39].</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Next search shows a significant number of nurses experiencing burnout, linked to factors like their nationality and worksetting. Given the detrimental effects of burnout on nurses and those they care for, more investigation into this issue, its effects, and the contributing factors are warranted. Early intervention and management strategies are also advised to prevent negative consequences [40].</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According  to  study of Yang S.,  melancholy  and  job  satisfaction  are  related  among  Korean  workers. However,  this  association  only  held  true  for  women  when  other  aspects  of  life  satisfaction  were  taken  into  account. One  strategy  to  prevent  and  treat  depression  in  female  employees  is  to  regularly  assess  for  job  satisfaction </w:t>
      </w:r>
      <w:r>
        <w:rPr>
          <w:rFonts w:ascii="Times New Roman" w:eastAsia="Times New Roman" w:hAnsi="Times New Roman" w:cs="Times New Roman"/>
          <w:sz w:val="28"/>
          <w:szCs w:val="28"/>
        </w:rPr>
        <w:t>[41].</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The following study demonstrates finding  nurse  work  settings  that  enable  nurses  to  continue  working  is  a  widespread  challenge  worldwide  due  to  the  global  nurse  shortage. This  study  investigated  whether  a  more  favorable  work  environment  for  nurses:</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(1)  lowers  psychological  distress,  </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  lowers  resignations  among  nurses,  </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(3)  lessens  the  interaction  effect  of  psychological  distress  on  resignations,  and  </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(4)  raises  turnover  among  nurses </w:t>
      </w:r>
      <w:r>
        <w:rPr>
          <w:rFonts w:ascii="Times New Roman" w:eastAsia="Times New Roman" w:hAnsi="Times New Roman" w:cs="Times New Roman"/>
          <w:sz w:val="28"/>
          <w:szCs w:val="28"/>
        </w:rPr>
        <w:t>[42].</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It  has  been  repeatedly  noted  that  neonatal  healthcare  workers  have  high  rates  of  mental  health  issues. Although  research  indicates  that  personality,  coping  mechanisms,  and  safety  culture  may  influence  the  mental  health  of  medical  staff,  these  factors  have  not  been  thoroughly  examined  in  both  high-risk  (such  as  neonatal  intensive  care  units;  NICUs)  and  low-risk  (such  as  neonatal  wards;  NWs)  neonatal  settings. The  current  study  looked  into  possible  indicators  of  mental  discomfort  in  professionals  and  whether  they  varied  depending  on  the  workplace. </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While  job  satisfaction  emerged  as  a  protective  factor,  higher  BIS/BAS  sensitivity,  avoidance  coping  techniques,  and  a  sub-dimension  of  safety  culture  (i.e.,  stress  recognition)  were  substantially  linked  to  increased  risk  of  emotional  distress. Three  distinct  professional  personality,  coping,  and  safety  culture  profiles  were  found,  and  these  characteristics  were  used  to  predict  emotional  distress. Personnel  in  NICUs  and  neonatal  wards  showed  distinct  relationships  between  safety  culture,  coping,  and  personality. Conclusion:  these  results  demonstrate the  importance of  modifiable  factors  that  influence  the   neonatal  mental  health  care  providers welfare. Professionals'  emotional  wellness  may  be  enhanced  and  caregiving  processes  may  be  improved  by  institutional  initiatives  that  focus  on  these  variables,  especially  job  satisfaction </w:t>
      </w:r>
      <w:r>
        <w:rPr>
          <w:rFonts w:ascii="Times New Roman" w:eastAsia="Times New Roman" w:hAnsi="Times New Roman" w:cs="Times New Roman"/>
          <w:sz w:val="28"/>
          <w:szCs w:val="28"/>
        </w:rPr>
        <w:t>[43].</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Compared  to  the  Chinese  general  population,  Chinese  nurses  are  more  likely  to  have  depression  symptoms  and  have  less  social  support. Formally  hired  nurses  had  more  social  support  than  those  on  contract. Among  nurses  in  various  occupations,  there  are  inverse  relationships  between  social  support  and  depression  symptoms,  so it is suggested to reduce depressive symptoms </w:t>
      </w:r>
      <w:r>
        <w:rPr>
          <w:rFonts w:ascii="Times New Roman" w:eastAsia="Times New Roman" w:hAnsi="Times New Roman" w:cs="Times New Roman"/>
          <w:sz w:val="28"/>
          <w:szCs w:val="28"/>
        </w:rPr>
        <w:t>[44].</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Few  studies  examine  the  cross-level  impacts  of  psychosocial  safety  environment  (PSC),  and  the  majority  of  existing  research  on  nurses'  work  </w:t>
      </w:r>
      <w:r>
        <w:rPr>
          <w:rFonts w:ascii="Times New Roman" w:eastAsia="Times New Roman" w:hAnsi="Times New Roman" w:cs="Times New Roman"/>
          <w:sz w:val="28"/>
          <w:szCs w:val="28"/>
          <w:highlight w:val="white"/>
        </w:rPr>
        <w:lastRenderedPageBreak/>
        <w:t>engagement  and  job  burnout  has  focused  on  the  individual  level. The  purpose  of  the  study  was  to  investigate  the  moderating  role  of  psychological  detachment  and  the  cross-level  mediating  influence  of  organization-based  self-esteem  (OBSE)  in  the  link  between  PSC  and  work  engagement  and  job  burnout  in  nurses.</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By  promoting  nurses'  high  levels  of  OBSE,  PSC  at  the  organizational  job level,  fatigue  and  raises  work  engagement are lowered. </w:t>
      </w:r>
      <w:r>
        <w:rPr>
          <w:rFonts w:ascii="Times New Roman" w:eastAsia="Times New Roman" w:hAnsi="Times New Roman" w:cs="Times New Roman"/>
          <w:sz w:val="28"/>
          <w:szCs w:val="28"/>
          <w:highlight w:val="white"/>
        </w:rPr>
        <w:br/>
        <w:t xml:space="preserve">яіAs  a  situational  component,  psychological  detachment  amplifies  PSC's  beneficial  effect  on  employee  engagement  at  work. Implementing  strategies  to  raise  the  organization's  PSC  levels  as  well  as  nurses'  OBSE  and  psychological  detachment  levels  may  encourage  them  to  perform  well  at  work </w:t>
      </w:r>
      <w:r>
        <w:rPr>
          <w:rFonts w:ascii="Times New Roman" w:eastAsia="Times New Roman" w:hAnsi="Times New Roman" w:cs="Times New Roman"/>
          <w:sz w:val="28"/>
          <w:szCs w:val="28"/>
        </w:rPr>
        <w:t>[45].</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In helping professions workers, who possess certain personal qualities, against the background of emotional overstrain and chronic professional stress, the syndrome of "mental burnout" develops often. The term “emotional burnout” is also found in the literature, which characterizes similar manifestations at all levels of personality organization in the cognitive, affective, motivational-behavioral, spiritual and physical spheres.</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Our time is marked by natural and artificial cataclysms. Against the backdrop of acute socio-political shifts and an economic crisis for most of the population, the COVID-19 pandemic has created conditions conducive to the development of serious stress disorders. Doctors and nurses working in healthcare institutions are subject to significant personal distress. It is difficult for them to open up to anyone outside their family and circle of friends [46].</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very profession of a healthcare worker contributes to the painful conditions development [47]. The suicide rate among healthcare workers, including psychiatrists, is significantly higher than among other categories of the population [48].</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term “burnout” was proposed by Freudenberger [49] to describe the demoralization, frustration, and excessive fatigue that he observed in healthcare workers. Some authors [8] have objected to the term “burnout” because of its </w:t>
      </w:r>
      <w:r>
        <w:rPr>
          <w:rFonts w:ascii="Times New Roman" w:eastAsia="Times New Roman" w:hAnsi="Times New Roman" w:cs="Times New Roman"/>
          <w:sz w:val="28"/>
          <w:szCs w:val="28"/>
        </w:rPr>
        <w:lastRenderedPageBreak/>
        <w:t>vagueness and overlap with related concepts such as post-traumatic stress disorder and depression, or have viewed it as a specific psychiatric problem [50]. According to the authors, “burnout” is the end result of the process of “burning out” [51]. “Burnout” manifests itself through changes in behavior, feelings, thinking, and health. There are now many studies documenting widespread dissatisfaction with the profession and feelings of regret in connection with the choice of a medical career [52].</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nurse's activity presupposes the presence of a constant stress level as a result - great responsibility and high intensity labor. Performed by the nurses, work is characterized by a wide spectrum professional duties, a frequent change of work types, a variety of business contacts with other people during the working day. Due to the conditions and the nature of nurses' work, it requires constant emotional stress, it is logical to assume that they are especially vulnerable in terms of psychological health, yet how many significant stress variables are included in this position before a specific person will be appointed on it.</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nurse is a medical worker of the middle and high level, who spends most of their time directly working with patients, is often on duty without the right to sleep at night during the period of duty and they first meet the sick, including those seriously ill in the hospital. Work of a nurse includes a large educational fragment, when a nurse must explain to the patient and their family the essence of the disease, the basic principles of its development, existing methods of treatment and prevention, including even methods of medical and genetic counseling if necessary, and also provide psycho-emotional support.</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To implement such a large and important volume of responsible work it is necessary for the nurse to feel comfortable at work and outside of work, to be healthy both physically and psychologically and socially. Additional components of health are considered role-based and general assessment of their health.</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Psychological health is closely related to basic characteristics, including hereditary conditioned and described in the literature phenomena, temperament, personal characteristics, spiritual peace and self-understanding. Manifestations of </w:t>
      </w:r>
      <w:r>
        <w:rPr>
          <w:rFonts w:ascii="Times New Roman" w:eastAsia="Times New Roman" w:hAnsi="Times New Roman" w:cs="Times New Roman"/>
          <w:sz w:val="28"/>
          <w:szCs w:val="28"/>
        </w:rPr>
        <w:lastRenderedPageBreak/>
        <w:t>affective states that cannot be avoided in the professional sphere for a nurse will be definite.</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concept of satisfaction with one's condition, motivation for success both at work, and so is extremely important and in family matters, a philosophical understanding of life, medicine and its role in it, actions that is carried out by a nurse to support and strengthening your health.ly affect him, for example disorders of the depressive spectrum.</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In order for the nurse to work professionally at a high level, it is necessary for her physical and psychological health, to have positive emotions and adaptation opportunities - both physiological and behavioral. Because nurse's working place often changes, and the working conditions presuppose a constant encounter with unforeseen situations, patients' illnesses, critical conditions, etc, adaptation can be diverse.  We allocate three states of adaptation - physiological, stressful and pathological - depending on the ratio of reserve capabilities and work mode of functional systems. Depletion of reserves leads to a state of exhaustion and maladaptation, which both affect physical and psycho-emotional health.</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Another issue that requires attention and judgment is the problem of professional training of nurses - changes in their personal indicators that occurred during long-term work. Here we can also talk about psychological processes, properties, traits and conditions that can negatively affect the behavior and work of nurses - responsible work with patients who need help, including emergency care. It has long been known that professional deformation is most susceptible for those specialists who work directly with people - now they are called "helping professions". These are teachers, doctors, nurses, psychologists. The closest environment (as professional, as domestic) has the most important meaning for or professional deformation of a nurse.</w:t>
      </w:r>
    </w:p>
    <w:p w:rsidR="00AE0763" w:rsidRDefault="00912C9B">
      <w:pPr>
        <w:ind w:left="426" w:right="139"/>
        <w:rPr>
          <w:rFonts w:ascii="Times New Roman" w:eastAsia="Times New Roman" w:hAnsi="Times New Roman" w:cs="Times New Roman"/>
          <w:sz w:val="28"/>
          <w:szCs w:val="28"/>
        </w:rPr>
      </w:pPr>
      <w:r>
        <w:br w:type="page"/>
      </w:r>
    </w:p>
    <w:p w:rsidR="00AE0763" w:rsidRDefault="00912C9B">
      <w:pPr>
        <w:tabs>
          <w:tab w:val="left" w:pos="426"/>
        </w:tabs>
        <w:spacing w:line="360" w:lineRule="auto"/>
        <w:ind w:left="426" w:right="139" w:firstLine="992"/>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lastRenderedPageBreak/>
        <w:t>Conclusions to chapter I.</w:t>
      </w:r>
    </w:p>
    <w:p w:rsidR="00AE0763" w:rsidRDefault="00AE076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p>
    <w:p w:rsidR="00AE0763" w:rsidRDefault="00912C9B">
      <w:pPr>
        <w:numPr>
          <w:ilvl w:val="0"/>
          <w:numId w:val="6"/>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 w:val="left" w:pos="1276"/>
        </w:tabs>
        <w:spacing w:line="360" w:lineRule="auto"/>
        <w:ind w:left="426" w:right="139" w:firstLine="12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In the course of the study, the scientific and methodological literature on the problem of long-term care for patients with mental disorders was analyzed. It was found that the problem of helping such patients exists all over the world. Therefore, this problem requires improvement of all medical care provision links, including the nursing process.</w:t>
      </w:r>
    </w:p>
    <w:p w:rsidR="00AE0763" w:rsidRDefault="00912C9B">
      <w:pPr>
        <w:numPr>
          <w:ilvl w:val="0"/>
          <w:numId w:val="6"/>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12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review of  the nurses` scientific literature on the professional quality of life founds that nurses are more likely to experience burnout, post-traumatic stress disorder, and depressive disorders than any other healthcare provider due to long hours in healthcare settings, administrative burden, supervision, and staffing difficulties.</w:t>
      </w:r>
    </w:p>
    <w:p w:rsidR="00AE0763" w:rsidRDefault="00912C9B">
      <w:pPr>
        <w:numPr>
          <w:ilvl w:val="0"/>
          <w:numId w:val="6"/>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12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Burnout among nurses working in hospitals is common and is attributed to the shortage of basic needs in hospitals, such as qualified staff, equipment, budget, high clinical and administrative workloads for nurses. Nurses reported stressors related to exhaustion, problems related to patient care, and lack of recognition for their hard work.</w:t>
      </w:r>
    </w:p>
    <w:p w:rsidR="00AE0763" w:rsidRDefault="00912C9B">
      <w:pPr>
        <w:numPr>
          <w:ilvl w:val="0"/>
          <w:numId w:val="6"/>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12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work of nurses requires high ethical responsibility. Consideration of the  patients` characteristics, their rights and dignity, as well as the fair distribution of resources, are the main components of a professional approach.</w:t>
      </w:r>
    </w:p>
    <w:p w:rsidR="00AE0763" w:rsidRDefault="00912C9B">
      <w:pPr>
        <w:numPr>
          <w:ilvl w:val="0"/>
          <w:numId w:val="6"/>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12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Working with patients can put healthcare workers at risk of emotional burnout. Prevention of this syndrome includes psychological support, self-regulation skills and organizational measures to alleviate the workload.</w:t>
      </w:r>
    </w:p>
    <w:p w:rsidR="00AE0763" w:rsidRDefault="00912C9B">
      <w:pPr>
        <w:numPr>
          <w:ilvl w:val="0"/>
          <w:numId w:val="6"/>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12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All these aspects are necessary for the development of effective management strategies and improvement of the quality of life of patients, as well as for increasing the efficiency of nursing care.</w:t>
      </w:r>
    </w:p>
    <w:p w:rsidR="00AE0763" w:rsidRDefault="00912C9B">
      <w:pPr>
        <w:tabs>
          <w:tab w:val="left" w:pos="426"/>
        </w:tabs>
        <w:spacing w:line="360" w:lineRule="auto"/>
        <w:ind w:left="426" w:right="139" w:firstLine="992"/>
        <w:jc w:val="both"/>
        <w:rPr>
          <w:rFonts w:ascii="Times New Roman" w:eastAsia="Times New Roman" w:hAnsi="Times New Roman" w:cs="Times New Roman"/>
          <w:b/>
          <w:sz w:val="28"/>
          <w:szCs w:val="28"/>
        </w:rPr>
      </w:pPr>
      <w:r>
        <w:br w:type="page"/>
      </w:r>
    </w:p>
    <w:p w:rsidR="00AE0763" w:rsidRDefault="00912C9B">
      <w:pPr>
        <w:tabs>
          <w:tab w:val="left" w:pos="426"/>
        </w:tabs>
        <w:spacing w:line="360" w:lineRule="auto"/>
        <w:ind w:left="426" w:right="139" w:firstLine="992"/>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CHAPTER  II. THE OBJECT AND METHODS OF RESEARCH</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rPr>
      </w:pP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Key aspects of the scientific approach in studying the characteristics of a nurse's work include the multidisciplinary nature of the study, qualitative research methods, analysis of ethical aspects, a systemic approach, and consideration of the sociocultural context.</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In turn, consideration of the characteristics of a nurse's work is based on a multidisciplinary approach, taking into account not only medical, but also psychological, social, and ethical aspects.</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use of qualitative methods allows for a deeper understanding of the context of a nurse's interaction with patients, and the identification of psychosocial factors and aspects of patient care.</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The aim of the work: </w:t>
      </w:r>
      <w:r>
        <w:rPr>
          <w:rFonts w:ascii="Times New Roman" w:eastAsia="Times New Roman" w:hAnsi="Times New Roman" w:cs="Times New Roman"/>
          <w:sz w:val="28"/>
          <w:szCs w:val="28"/>
        </w:rPr>
        <w:t>to identify the level of stress in nurses, namely its main symptoms of anxiety and depression, and to assess how much stress affects both the work of nurses and their daily activities. To investigate whether patients notice that the stress that affects nurses impairs their practical skills.</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Research objective:</w:t>
      </w:r>
      <w:r>
        <w:rPr>
          <w:rFonts w:ascii="Times New Roman" w:eastAsia="Times New Roman" w:hAnsi="Times New Roman" w:cs="Times New Roman"/>
          <w:sz w:val="28"/>
          <w:szCs w:val="28"/>
        </w:rPr>
        <w:t xml:space="preserve"> to study and evaluate the incidence of depression in the nurses.</w:t>
      </w:r>
    </w:p>
    <w:p w:rsidR="00AE0763" w:rsidRDefault="00912C9B">
      <w:pPr>
        <w:pStyle w:val="a4"/>
        <w:tabs>
          <w:tab w:val="left" w:pos="426"/>
        </w:tabs>
        <w:spacing w:after="0"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Research object</w:t>
      </w:r>
      <w:r>
        <w:rPr>
          <w:rFonts w:ascii="Times New Roman" w:eastAsia="Times New Roman" w:hAnsi="Times New Roman" w:cs="Times New Roman"/>
          <w:sz w:val="28"/>
          <w:szCs w:val="28"/>
        </w:rPr>
        <w:t>.  Clinic nursing staff.</w:t>
      </w:r>
    </w:p>
    <w:p w:rsidR="00AE0763" w:rsidRDefault="00912C9B">
      <w:pPr>
        <w:pStyle w:val="a4"/>
        <w:tabs>
          <w:tab w:val="left" w:pos="426"/>
        </w:tabs>
        <w:spacing w:after="0" w:line="360" w:lineRule="auto"/>
        <w:ind w:left="426" w:right="139" w:firstLine="992"/>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Research subject</w:t>
      </w:r>
      <w:r>
        <w:rPr>
          <w:rFonts w:ascii="Times New Roman" w:eastAsia="Times New Roman" w:hAnsi="Times New Roman" w:cs="Times New Roman"/>
          <w:sz w:val="28"/>
          <w:szCs w:val="28"/>
        </w:rPr>
        <w:t xml:space="preserve">. The frequency of stress in nurses, namely its main signs of anxiety and depression, and burnout syndrome.  </w:t>
      </w:r>
    </w:p>
    <w:p w:rsidR="00AE0763" w:rsidRDefault="00912C9B">
      <w:pPr>
        <w:pStyle w:val="a4"/>
        <w:tabs>
          <w:tab w:val="left" w:pos="426"/>
        </w:tabs>
        <w:spacing w:after="0"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Research methods</w:t>
      </w:r>
      <w:r>
        <w:rPr>
          <w:rFonts w:ascii="Times New Roman" w:eastAsia="Times New Roman" w:hAnsi="Times New Roman" w:cs="Times New Roman"/>
          <w:sz w:val="28"/>
          <w:szCs w:val="28"/>
        </w:rPr>
        <w:t xml:space="preserve">: </w:t>
      </w:r>
    </w:p>
    <w:p w:rsidR="00AE0763" w:rsidRDefault="00912C9B">
      <w:pPr>
        <w:tabs>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Survey.</w:t>
      </w:r>
    </w:p>
    <w:p w:rsidR="00AE0763" w:rsidRDefault="00912C9B">
      <w:pPr>
        <w:tabs>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Questionnaire.</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To conduct the study, a questionnaire was created for interviewing nurses based on the Hospital Anxiety and Depression Scale (HADS).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The HADS is a self-report rating scale of 14 items on a 4-point Likert scale (range 0–3). It is designed to measure anxiety and depression (7 items for each subscale). The total score is the sum of the 14 items, and for each subscale the score is the sum of the respective seven items (ranging from 0–21). It is worth </w:t>
      </w:r>
      <w:r>
        <w:rPr>
          <w:rFonts w:ascii="Times New Roman" w:eastAsia="Times New Roman" w:hAnsi="Times New Roman" w:cs="Times New Roman"/>
          <w:sz w:val="28"/>
          <w:szCs w:val="28"/>
          <w:highlight w:val="white"/>
        </w:rPr>
        <w:lastRenderedPageBreak/>
        <w:t>noting that items referring to depression symptoms that describe somatic aspects of depression (e.g. insomnia and weight loss) are not included in the scale.</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This scale has two sections for assessing anxiety (HAS) and depression (HDS). When processing the data, the total score is taken into account: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0–9 points – normal,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10–13 – subclinical depression/anxiety,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more than 13 points – clinically pronounced depression.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A survey using the Hospital Anxiety and Depression Scale (HADS) was conducted among 75 nurses working in clinics. </w:t>
      </w:r>
    </w:p>
    <w:p w:rsidR="00AE0763" w:rsidRDefault="00912C9B">
      <w:pPr>
        <w:pStyle w:val="a4"/>
        <w:tabs>
          <w:tab w:val="left" w:pos="426"/>
        </w:tabs>
        <w:spacing w:after="0"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assessment of psychological status, the presence and intensity of depression were assessed using the Beck Depression Inventory (Beck A., 1961).</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There are currently many tests and questionnaires for determining depression. The Beck Depression Inventory was developed in 1961 by the American psychiatrist A. Beck not only to measure the severity of depressive syndrome, but also to assess its individual components (cognitive-affective and somatic).</w:t>
      </w:r>
    </w:p>
    <w:p w:rsidR="00AE0763" w:rsidRDefault="00912C9B">
      <w:pPr>
        <w:pStyle w:val="a4"/>
        <w:tabs>
          <w:tab w:val="left" w:pos="426"/>
        </w:tabs>
        <w:spacing w:after="0"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Тhe method has found wide application for assessing the dynamics of depressive states and the effectiveness of therapy. The Beck scale is recognized as one of the most reliable and accurate in screening diagnostics of depression. A distinctive advantage over alternative questionnaires is that the Beck questionnaire contains questions for diagnosing subdepression and early forms of depression.</w:t>
      </w:r>
    </w:p>
    <w:p w:rsidR="00AE0763" w:rsidRDefault="00912C9B">
      <w:pPr>
        <w:pStyle w:val="a4"/>
        <w:tabs>
          <w:tab w:val="left" w:pos="426"/>
        </w:tabs>
        <w:spacing w:after="0"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Patients were asked to answer 21 questions, each with 4 answer options: </w:t>
      </w:r>
    </w:p>
    <w:p w:rsidR="00AE0763" w:rsidRDefault="00912C9B">
      <w:pPr>
        <w:pStyle w:val="a4"/>
        <w:tabs>
          <w:tab w:val="left" w:pos="426"/>
        </w:tabs>
        <w:spacing w:after="0"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0 points for answer No. 1, </w:t>
      </w:r>
    </w:p>
    <w:p w:rsidR="00AE0763" w:rsidRDefault="00912C9B">
      <w:pPr>
        <w:pStyle w:val="a4"/>
        <w:tabs>
          <w:tab w:val="left" w:pos="426"/>
        </w:tabs>
        <w:spacing w:after="0"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point for answer No. 2, </w:t>
      </w:r>
    </w:p>
    <w:p w:rsidR="00AE0763" w:rsidRDefault="00912C9B">
      <w:pPr>
        <w:pStyle w:val="a4"/>
        <w:tabs>
          <w:tab w:val="left" w:pos="426"/>
        </w:tabs>
        <w:spacing w:after="0"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points for answer No. 3, </w:t>
      </w:r>
    </w:p>
    <w:p w:rsidR="00AE0763" w:rsidRDefault="00912C9B">
      <w:pPr>
        <w:pStyle w:val="a4"/>
        <w:tabs>
          <w:tab w:val="left" w:pos="426"/>
        </w:tabs>
        <w:spacing w:after="0"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and 3 points for answer No. 4. </w:t>
      </w:r>
    </w:p>
    <w:p w:rsidR="00AE0763" w:rsidRDefault="00912C9B">
      <w:pPr>
        <w:pStyle w:val="a4"/>
        <w:tabs>
          <w:tab w:val="left" w:pos="426"/>
        </w:tabs>
        <w:spacing w:after="0"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When interpreting the data, the total score for all answers is taken into account:</w:t>
      </w:r>
    </w:p>
    <w:p w:rsidR="00AE0763" w:rsidRDefault="00912C9B">
      <w:pPr>
        <w:pStyle w:val="a4"/>
        <w:tabs>
          <w:tab w:val="left" w:pos="426"/>
        </w:tabs>
        <w:spacing w:after="0"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0–9 – no depressive symptoms;</w:t>
      </w:r>
    </w:p>
    <w:p w:rsidR="00AE0763" w:rsidRDefault="00912C9B">
      <w:pPr>
        <w:pStyle w:val="a4"/>
        <w:tabs>
          <w:tab w:val="left" w:pos="426"/>
        </w:tabs>
        <w:spacing w:after="0"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10–15 – mild depression (subdepression);</w:t>
      </w:r>
    </w:p>
    <w:p w:rsidR="00AE0763" w:rsidRDefault="00912C9B">
      <w:pPr>
        <w:pStyle w:val="a4"/>
        <w:tabs>
          <w:tab w:val="left" w:pos="426"/>
        </w:tabs>
        <w:spacing w:after="0"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16–19 – moderate depression;</w:t>
      </w:r>
    </w:p>
    <w:p w:rsidR="00AE0763" w:rsidRDefault="00912C9B">
      <w:pPr>
        <w:pStyle w:val="a4"/>
        <w:tabs>
          <w:tab w:val="left" w:pos="426"/>
        </w:tabs>
        <w:spacing w:after="0"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20–29 – severe depression (moderate);</w:t>
      </w:r>
    </w:p>
    <w:p w:rsidR="00AE0763" w:rsidRDefault="00912C9B">
      <w:pPr>
        <w:pStyle w:val="a4"/>
        <w:tabs>
          <w:tab w:val="left" w:pos="426"/>
        </w:tabs>
        <w:spacing w:after="0"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30–63 – severe depression.</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Characteristics of respondents: </w:t>
      </w:r>
    </w:p>
    <w:p w:rsidR="00AE0763" w:rsidRDefault="00912C9B">
      <w:pPr>
        <w:tabs>
          <w:tab w:val="left" w:pos="1414"/>
        </w:tabs>
        <w:spacing w:line="360" w:lineRule="auto"/>
        <w:ind w:left="1417" w:right="13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by age - from 20 to 57 years, all age categories are represented evenly; by work experience: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up to 2 years - 5 respondents,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2–5 years - 12,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5–10 years - 20,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more than 10 years - 43;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by gender: female – 75.</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The distribution by department was as follows: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therapeutic - 22, surgical - 35, anesthesiology and intensive care - 18 nurses. </w:t>
      </w:r>
    </w:p>
    <w:p w:rsidR="00AE0763" w:rsidRDefault="00912C9B">
      <w:pPr>
        <w:tabs>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Qualitative analysis (focus groups and interviews)</w:t>
      </w:r>
    </w:p>
    <w:p w:rsidR="00AE0763" w:rsidRDefault="00912C9B">
      <w:pPr>
        <w:tabs>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series of focus groups and semi-structured interviews were conducted among nurses.</w:t>
      </w:r>
    </w:p>
    <w:p w:rsidR="00AE0763" w:rsidRDefault="00912C9B">
      <w:pPr>
        <w:tabs>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study participants were nurses working in different departments of multi-specialty hospitals. Convenience sampling was used to select nurses. Convenience sampling is a type of non-probability sampling technique in which members of the target population are selected based on their availability, accessibility, and willingness to voluntarily participate in the study. Registered nurses were informed about the details of the study, and after a lecture, they consented to participate. The researcher distributed questionnaires to the nurses who agreed to be interviewed.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The next questionnaire was created for surveying </w:t>
      </w:r>
      <w:r>
        <w:rPr>
          <w:rFonts w:ascii="Times New Roman" w:eastAsia="Times New Roman" w:hAnsi="Times New Roman" w:cs="Times New Roman"/>
          <w:sz w:val="28"/>
          <w:szCs w:val="28"/>
        </w:rPr>
        <w:t>respondents</w:t>
      </w:r>
      <w:r>
        <w:rPr>
          <w:rFonts w:ascii="Times New Roman" w:eastAsia="Times New Roman" w:hAnsi="Times New Roman" w:cs="Times New Roman"/>
          <w:sz w:val="28"/>
          <w:szCs w:val="28"/>
          <w:highlight w:val="white"/>
        </w:rPr>
        <w:t xml:space="preserve"> based on the Likert scale. The questions were formed as closed and open in order to be able to fully assess the level of quality of medical services provided by nurses in stressful conditions.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In the theoretical part of the questionnaire, to determine awareness of stress, we asked an open question: “What is stress?” 72 (96,0)% of respondents </w:t>
      </w:r>
      <w:r>
        <w:rPr>
          <w:rFonts w:ascii="Times New Roman" w:eastAsia="Times New Roman" w:hAnsi="Times New Roman" w:cs="Times New Roman"/>
          <w:sz w:val="28"/>
          <w:szCs w:val="28"/>
          <w:highlight w:val="white"/>
        </w:rPr>
        <w:lastRenderedPageBreak/>
        <w:t xml:space="preserve">answered the question correctly, 3 (4%) of respondents made minor inaccuracies, and 4 were undecided and their questionnaires were not included in the statistical analysis. Therefore, we can conclude that the respondents who took part in the survey are well-versed in the subject of the study </w:t>
      </w:r>
      <w:r>
        <w:rPr>
          <w:rFonts w:ascii="Times New Roman" w:eastAsia="Times New Roman" w:hAnsi="Times New Roman" w:cs="Times New Roman"/>
          <w:sz w:val="28"/>
          <w:szCs w:val="28"/>
        </w:rPr>
        <w:t>[53].</w:t>
      </w:r>
      <w:r>
        <w:rPr>
          <w:rFonts w:ascii="Times New Roman" w:eastAsia="Times New Roman" w:hAnsi="Times New Roman" w:cs="Times New Roman"/>
          <w:sz w:val="28"/>
          <w:szCs w:val="28"/>
          <w:highlight w:val="white"/>
        </w:rPr>
        <w:t xml:space="preserve">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Five questionnaires (4% of respondents) were rejected and not included in statistical processing due to uncertainty on most items and lack of answers to most questions.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Before the start of testing, consent to participate in the survey was obtained and the questionnaire procedure was explained in advance.</w:t>
      </w:r>
    </w:p>
    <w:p w:rsidR="00AE0763" w:rsidRDefault="00912C9B">
      <w:pPr>
        <w:tabs>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Statistical analysis of data</w:t>
      </w:r>
    </w:p>
    <w:p w:rsidR="00AE0763" w:rsidRDefault="00912C9B">
      <w:pPr>
        <w:tabs>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collected data was processed using descriptive statistics methods. To evaluate the results, the following were used:</w:t>
      </w:r>
    </w:p>
    <w:p w:rsidR="00AE0763" w:rsidRDefault="00912C9B">
      <w:pPr>
        <w:tabs>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calculation of average values and percentage distribution of responses;</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Given the complexity and multifaceted nature of the problem, we have chosen a methodological approach that combines several methods. Qualitative observation and conducting a questionnairy and survey of medical personnel will allow us to gain a deep understanding of the dynamics of interaction, while quantitative data analysis will help in statistically identifying patterns and establishing relationships between various factors. Such an approach will contribute to a complete and objective study of the specifics of a nurse's work.</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Stages of the study</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Preparatory stage:</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Formulation of a hypothesis and definition of goals.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Development of questionnaires and scenarios for focus groups.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 Data collection:</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Conducting a survey of nurses.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Collection of qualitative data in focus groups.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 Information analysis: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Processing of survey results (using Excel, SPSS or other programs).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Coding and analysis of responses from focus groups.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 Interpretation of results: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Drawing up generalized conclusions.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 Implementation of results: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Formation of recommendations for nurses.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Publication of research results at conferences and in scientific journals.</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Conclusions to chapter II.</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numPr>
          <w:ilvl w:val="0"/>
          <w:numId w:val="5"/>
        </w:numPr>
        <w:pBdr>
          <w:top w:val="nil"/>
          <w:left w:val="nil"/>
          <w:bottom w:val="nil"/>
          <w:right w:val="nil"/>
          <w:between w:val="nil"/>
        </w:pBd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The use of the hospital anxiety and depression scale (HADS)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makes it possible to identify nurses of risk groups regarding the development of psycho-emotional disorders for the development of preventive psychological support measures.</w:t>
      </w:r>
    </w:p>
    <w:p w:rsidR="00AE0763" w:rsidRDefault="00912C9B">
      <w:pPr>
        <w:numPr>
          <w:ilvl w:val="0"/>
          <w:numId w:val="5"/>
        </w:numPr>
        <w:pBdr>
          <w:top w:val="nil"/>
          <w:left w:val="nil"/>
          <w:bottom w:val="nil"/>
          <w:right w:val="nil"/>
          <w:between w:val="nil"/>
        </w:pBd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The use of a comprehensive approach to research allows not only to assess the level of depressive disorders among nurses, but also to identify the main causes of their occurrence. This, in turn, helps to develop effective strategies for the prevention of depressive disorders and burnout syndrome among nurses.</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ind w:left="426" w:right="139"/>
        <w:jc w:val="both"/>
        <w:rPr>
          <w:rFonts w:ascii="Times New Roman" w:eastAsia="Times New Roman" w:hAnsi="Times New Roman" w:cs="Times New Roman"/>
          <w:sz w:val="28"/>
          <w:szCs w:val="28"/>
          <w:highlight w:val="white"/>
        </w:rPr>
      </w:pPr>
      <w:r>
        <w:br w:type="page"/>
      </w:r>
    </w:p>
    <w:p w:rsidR="00AE0763" w:rsidRDefault="00912C9B">
      <w:pPr>
        <w:tabs>
          <w:tab w:val="left" w:pos="426"/>
        </w:tabs>
        <w:spacing w:line="360" w:lineRule="auto"/>
        <w:ind w:left="426" w:right="139" w:firstLine="992"/>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CHAPTER  III. </w:t>
      </w:r>
    </w:p>
    <w:p w:rsidR="00AE0763" w:rsidRDefault="00912C9B">
      <w:pPr>
        <w:tabs>
          <w:tab w:val="left" w:pos="426"/>
        </w:tabs>
        <w:spacing w:line="360" w:lineRule="auto"/>
        <w:ind w:left="426" w:right="139" w:firstLine="992"/>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THE INCIDENCE OF DEPRESSION IN THE NURES.</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3.1. Clinical characteristic of respondents.</w:t>
      </w:r>
    </w:p>
    <w:p w:rsidR="00AE0763" w:rsidRDefault="00AE0763">
      <w:pPr>
        <w:tabs>
          <w:tab w:val="left" w:pos="426"/>
        </w:tabs>
        <w:spacing w:line="360" w:lineRule="auto"/>
        <w:ind w:left="426" w:right="139" w:firstLine="992"/>
        <w:jc w:val="both"/>
        <w:rPr>
          <w:rFonts w:ascii="Times New Roman" w:eastAsia="Times New Roman" w:hAnsi="Times New Roman" w:cs="Times New Roman"/>
          <w:b/>
          <w:sz w:val="28"/>
          <w:szCs w:val="28"/>
          <w:highlight w:val="white"/>
        </w:rPr>
      </w:pPr>
    </w:p>
    <w:p w:rsidR="00AE0763" w:rsidRDefault="00912C9B">
      <w:pPr>
        <w:tabs>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study participants were nurses working in different departments of multi-specialty hospitals. Convenience sampling was used to select nurses. Convenience sampling is a type of non-probability sampling technique in which members of the target population are selected based on their availability, accessibility, and willingness to voluntarily participate in the study. Registered nurses were informed about the details of the study, and after a lecture, they consented to participate. The researcher distributed questionnaires to the nurses who agreed to be interviewed.</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To conduct the study, a questionnaire was created for interviewing nurses based on the Hospital Anxiety and Depression Scale (HADS).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This scale has two sections for assessing anxiety (HAS) and depression (HDS). When processing the data, the total score is taken into account: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0–9 points – normal,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10–13 – subclinical depression/anxiety,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more than 13 points – clinically pronounced depression. </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We interviewed 75 nurses who worked in inpatient departments of general hospitals.</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All nurses were female.</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There was a predominance of women over men due to the gender characteristics of the medical profession.</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Characteristics of respondents: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By age - from 20 to 57 years (Tab. 3.1.1).</w:t>
      </w:r>
    </w:p>
    <w:p w:rsidR="00AE0763" w:rsidRDefault="00912C9B">
      <w:pPr>
        <w:rPr>
          <w:rFonts w:ascii="Times New Roman" w:eastAsia="Times New Roman" w:hAnsi="Times New Roman" w:cs="Times New Roman"/>
          <w:sz w:val="28"/>
          <w:szCs w:val="28"/>
          <w:highlight w:val="white"/>
        </w:rPr>
      </w:pPr>
      <w:r>
        <w:br w:type="page"/>
      </w:r>
    </w:p>
    <w:p w:rsidR="00AE0763" w:rsidRDefault="00912C9B">
      <w:pPr>
        <w:tabs>
          <w:tab w:val="left" w:pos="426"/>
        </w:tabs>
        <w:spacing w:line="360" w:lineRule="auto"/>
        <w:ind w:left="426" w:right="139" w:firstLine="992"/>
        <w:jc w:val="right"/>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Table 3.1.1.</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The characteristics of respondents by age</w:t>
      </w:r>
    </w:p>
    <w:tbl>
      <w:tblPr>
        <w:tblStyle w:val="a6"/>
        <w:tblW w:w="7996" w:type="dxa"/>
        <w:tblInd w:w="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84"/>
        <w:gridCol w:w="2345"/>
        <w:gridCol w:w="2331"/>
        <w:gridCol w:w="2336"/>
      </w:tblGrid>
      <w:tr w:rsidR="00AE0763">
        <w:tc>
          <w:tcPr>
            <w:tcW w:w="984"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N</w:t>
            </w:r>
          </w:p>
        </w:tc>
        <w:tc>
          <w:tcPr>
            <w:tcW w:w="2345"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Age</w:t>
            </w:r>
          </w:p>
        </w:tc>
        <w:tc>
          <w:tcPr>
            <w:tcW w:w="233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n</w:t>
            </w:r>
          </w:p>
        </w:tc>
        <w:tc>
          <w:tcPr>
            <w:tcW w:w="2336"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w:t>
            </w:r>
          </w:p>
        </w:tc>
      </w:tr>
      <w:tr w:rsidR="00AE0763">
        <w:tc>
          <w:tcPr>
            <w:tcW w:w="984"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w:t>
            </w:r>
          </w:p>
        </w:tc>
        <w:tc>
          <w:tcPr>
            <w:tcW w:w="2345"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 xml:space="preserve">Up to 30 </w:t>
            </w:r>
          </w:p>
        </w:tc>
        <w:tc>
          <w:tcPr>
            <w:tcW w:w="233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6</w:t>
            </w:r>
          </w:p>
        </w:tc>
        <w:tc>
          <w:tcPr>
            <w:tcW w:w="2336"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69.0</w:t>
            </w:r>
          </w:p>
        </w:tc>
      </w:tr>
      <w:tr w:rsidR="00AE0763">
        <w:tc>
          <w:tcPr>
            <w:tcW w:w="984"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2</w:t>
            </w:r>
          </w:p>
        </w:tc>
        <w:tc>
          <w:tcPr>
            <w:tcW w:w="2345"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31- 40</w:t>
            </w:r>
          </w:p>
        </w:tc>
        <w:tc>
          <w:tcPr>
            <w:tcW w:w="233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21</w:t>
            </w:r>
          </w:p>
        </w:tc>
        <w:tc>
          <w:tcPr>
            <w:tcW w:w="2336"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28.0</w:t>
            </w:r>
          </w:p>
        </w:tc>
      </w:tr>
      <w:tr w:rsidR="00AE0763">
        <w:tc>
          <w:tcPr>
            <w:tcW w:w="984"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3</w:t>
            </w:r>
          </w:p>
        </w:tc>
        <w:tc>
          <w:tcPr>
            <w:tcW w:w="2345"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41 - 50</w:t>
            </w:r>
          </w:p>
        </w:tc>
        <w:tc>
          <w:tcPr>
            <w:tcW w:w="233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29</w:t>
            </w:r>
          </w:p>
        </w:tc>
        <w:tc>
          <w:tcPr>
            <w:tcW w:w="2336"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38.7</w:t>
            </w:r>
          </w:p>
        </w:tc>
      </w:tr>
      <w:tr w:rsidR="00AE0763">
        <w:tc>
          <w:tcPr>
            <w:tcW w:w="984"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4</w:t>
            </w:r>
          </w:p>
        </w:tc>
        <w:tc>
          <w:tcPr>
            <w:tcW w:w="2345"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Over 50</w:t>
            </w:r>
          </w:p>
        </w:tc>
        <w:tc>
          <w:tcPr>
            <w:tcW w:w="233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19</w:t>
            </w:r>
          </w:p>
        </w:tc>
        <w:tc>
          <w:tcPr>
            <w:tcW w:w="2336"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25.3</w:t>
            </w:r>
          </w:p>
        </w:tc>
      </w:tr>
      <w:tr w:rsidR="00AE0763">
        <w:tc>
          <w:tcPr>
            <w:tcW w:w="984" w:type="dxa"/>
          </w:tcPr>
          <w:p w:rsidR="00AE0763" w:rsidRDefault="00AE0763">
            <w:pPr>
              <w:tabs>
                <w:tab w:val="left" w:pos="426"/>
              </w:tabs>
              <w:spacing w:line="360" w:lineRule="auto"/>
              <w:ind w:left="426" w:right="139"/>
              <w:jc w:val="both"/>
              <w:rPr>
                <w:sz w:val="28"/>
                <w:szCs w:val="28"/>
                <w:highlight w:val="white"/>
              </w:rPr>
            </w:pPr>
          </w:p>
        </w:tc>
        <w:tc>
          <w:tcPr>
            <w:tcW w:w="2345"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Total</w:t>
            </w:r>
          </w:p>
        </w:tc>
        <w:tc>
          <w:tcPr>
            <w:tcW w:w="233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75</w:t>
            </w:r>
          </w:p>
        </w:tc>
        <w:tc>
          <w:tcPr>
            <w:tcW w:w="2336"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100.0</w:t>
            </w:r>
          </w:p>
        </w:tc>
      </w:tr>
    </w:tbl>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The average age of the examined was 43.54 ± 1.69 years.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All age categories are represented evenly; by work experience (Tab. 3.1.2.)</w:t>
      </w:r>
    </w:p>
    <w:p w:rsidR="00AE0763" w:rsidRDefault="00912C9B">
      <w:pPr>
        <w:tabs>
          <w:tab w:val="left" w:pos="426"/>
        </w:tabs>
        <w:spacing w:line="360" w:lineRule="auto"/>
        <w:ind w:left="426" w:right="139" w:firstLine="992"/>
        <w:jc w:val="right"/>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Table 3.1.2.</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Work experience of the nurses.</w:t>
      </w:r>
    </w:p>
    <w:tbl>
      <w:tblPr>
        <w:tblStyle w:val="a7"/>
        <w:tblW w:w="8769" w:type="dxa"/>
        <w:tblInd w:w="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84"/>
        <w:gridCol w:w="3118"/>
        <w:gridCol w:w="2331"/>
        <w:gridCol w:w="2336"/>
      </w:tblGrid>
      <w:tr w:rsidR="00AE0763">
        <w:tc>
          <w:tcPr>
            <w:tcW w:w="984"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N</w:t>
            </w:r>
          </w:p>
        </w:tc>
        <w:tc>
          <w:tcPr>
            <w:tcW w:w="3118"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Work experience</w:t>
            </w:r>
          </w:p>
        </w:tc>
        <w:tc>
          <w:tcPr>
            <w:tcW w:w="233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n</w:t>
            </w:r>
          </w:p>
        </w:tc>
        <w:tc>
          <w:tcPr>
            <w:tcW w:w="2336"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w:t>
            </w:r>
          </w:p>
        </w:tc>
      </w:tr>
      <w:tr w:rsidR="00AE0763">
        <w:tc>
          <w:tcPr>
            <w:tcW w:w="984"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w:t>
            </w:r>
          </w:p>
        </w:tc>
        <w:tc>
          <w:tcPr>
            <w:tcW w:w="3118"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 xml:space="preserve">Up to 2 years </w:t>
            </w:r>
          </w:p>
        </w:tc>
        <w:tc>
          <w:tcPr>
            <w:tcW w:w="233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5</w:t>
            </w:r>
          </w:p>
        </w:tc>
        <w:tc>
          <w:tcPr>
            <w:tcW w:w="2336"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6.7</w:t>
            </w:r>
          </w:p>
        </w:tc>
      </w:tr>
      <w:tr w:rsidR="00AE0763">
        <w:tc>
          <w:tcPr>
            <w:tcW w:w="984"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2</w:t>
            </w:r>
          </w:p>
        </w:tc>
        <w:tc>
          <w:tcPr>
            <w:tcW w:w="3118"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2–5 years</w:t>
            </w:r>
          </w:p>
        </w:tc>
        <w:tc>
          <w:tcPr>
            <w:tcW w:w="233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13</w:t>
            </w:r>
          </w:p>
        </w:tc>
        <w:tc>
          <w:tcPr>
            <w:tcW w:w="2336"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17.3</w:t>
            </w:r>
          </w:p>
        </w:tc>
      </w:tr>
      <w:tr w:rsidR="00AE0763">
        <w:tc>
          <w:tcPr>
            <w:tcW w:w="984"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3</w:t>
            </w:r>
          </w:p>
        </w:tc>
        <w:tc>
          <w:tcPr>
            <w:tcW w:w="3118"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5–10</w:t>
            </w:r>
          </w:p>
        </w:tc>
        <w:tc>
          <w:tcPr>
            <w:tcW w:w="233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20</w:t>
            </w:r>
          </w:p>
        </w:tc>
        <w:tc>
          <w:tcPr>
            <w:tcW w:w="2336"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26.7</w:t>
            </w:r>
          </w:p>
        </w:tc>
      </w:tr>
      <w:tr w:rsidR="00AE0763">
        <w:tc>
          <w:tcPr>
            <w:tcW w:w="984"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4</w:t>
            </w:r>
          </w:p>
        </w:tc>
        <w:tc>
          <w:tcPr>
            <w:tcW w:w="3118"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More than 10 years</w:t>
            </w:r>
          </w:p>
        </w:tc>
        <w:tc>
          <w:tcPr>
            <w:tcW w:w="233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43</w:t>
            </w:r>
          </w:p>
        </w:tc>
        <w:tc>
          <w:tcPr>
            <w:tcW w:w="2336"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57.3</w:t>
            </w:r>
          </w:p>
        </w:tc>
      </w:tr>
      <w:tr w:rsidR="00AE0763">
        <w:tc>
          <w:tcPr>
            <w:tcW w:w="984" w:type="dxa"/>
          </w:tcPr>
          <w:p w:rsidR="00AE0763" w:rsidRDefault="00AE0763">
            <w:pPr>
              <w:tabs>
                <w:tab w:val="left" w:pos="426"/>
              </w:tabs>
              <w:spacing w:line="360" w:lineRule="auto"/>
              <w:ind w:left="426" w:right="139"/>
              <w:jc w:val="both"/>
              <w:rPr>
                <w:sz w:val="28"/>
                <w:szCs w:val="28"/>
                <w:highlight w:val="white"/>
              </w:rPr>
            </w:pPr>
          </w:p>
        </w:tc>
        <w:tc>
          <w:tcPr>
            <w:tcW w:w="3118"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Total</w:t>
            </w:r>
          </w:p>
        </w:tc>
        <w:tc>
          <w:tcPr>
            <w:tcW w:w="233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75</w:t>
            </w:r>
          </w:p>
        </w:tc>
        <w:tc>
          <w:tcPr>
            <w:tcW w:w="2336"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100.0</w:t>
            </w:r>
          </w:p>
        </w:tc>
      </w:tr>
    </w:tbl>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The distribution by department was as follows: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therapeutic - 22, surgical - 35, anesthesiology and intensive care - 18 nurses (Fig. 3.1.1).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lastRenderedPageBreak/>
        <w:drawing>
          <wp:inline distT="0" distB="0" distL="0" distR="0">
            <wp:extent cx="4514850" cy="2438400"/>
            <wp:effectExtent l="0" t="0" r="0" b="0"/>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4514850" cy="2438400"/>
                    </a:xfrm>
                    <a:prstGeom prst="rect">
                      <a:avLst/>
                    </a:prstGeom>
                    <a:ln/>
                  </pic:spPr>
                </pic:pic>
              </a:graphicData>
            </a:graphic>
          </wp:inline>
        </w:drawing>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Figure 3.1.1. The distribution by department</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Five questionnaires (4% of respondents) were rejected and not included in statistical processing due to uncertainty on most items and lack of answers to most questions.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Before the start of testing, consent to participate in the survey was obtained and the questionnaire procedure was explained in advance.</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42 medical workers (56.0%) were married, 33 (44.0%) were single (widowed, single or divorced) (fig. 3.1.2).</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Figure 3.1.2. Marital status of nurses.</w:t>
      </w:r>
    </w:p>
    <w:p w:rsidR="00AE0763" w:rsidRDefault="004807CA">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rPr>
        <w:drawing>
          <wp:inline distT="0" distB="0" distL="0" distR="0">
            <wp:extent cx="3498850" cy="2330450"/>
            <wp:effectExtent l="0" t="0" r="6350" b="12700"/>
            <wp:docPr id="27"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51 persons (68%) had chronic diseases (Tab. 3.1.3.. Fig. 3.1.3).</w:t>
      </w:r>
    </w:p>
    <w:p w:rsidR="00AE0763" w:rsidRDefault="00912C9B">
      <w:pPr>
        <w:rPr>
          <w:rFonts w:ascii="Times New Roman" w:eastAsia="Times New Roman" w:hAnsi="Times New Roman" w:cs="Times New Roman"/>
          <w:sz w:val="28"/>
          <w:szCs w:val="28"/>
          <w:highlight w:val="white"/>
        </w:rPr>
      </w:pPr>
      <w:r>
        <w:br w:type="page"/>
      </w:r>
    </w:p>
    <w:p w:rsidR="00AE0763" w:rsidRDefault="00912C9B">
      <w:pPr>
        <w:tabs>
          <w:tab w:val="left" w:pos="426"/>
        </w:tabs>
        <w:spacing w:line="360" w:lineRule="auto"/>
        <w:ind w:left="426" w:right="139" w:firstLine="992"/>
        <w:jc w:val="right"/>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Table 3.1.3.</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The chronic diseases of the nurses.</w:t>
      </w:r>
    </w:p>
    <w:tbl>
      <w:tblPr>
        <w:tblStyle w:val="a8"/>
        <w:tblW w:w="8296" w:type="dxa"/>
        <w:tblInd w:w="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61"/>
        <w:gridCol w:w="4276"/>
        <w:gridCol w:w="1370"/>
        <w:gridCol w:w="1589"/>
      </w:tblGrid>
      <w:tr w:rsidR="00AE0763">
        <w:tc>
          <w:tcPr>
            <w:tcW w:w="106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N</w:t>
            </w:r>
          </w:p>
        </w:tc>
        <w:tc>
          <w:tcPr>
            <w:tcW w:w="4276"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Chronic diseases</w:t>
            </w:r>
          </w:p>
        </w:tc>
        <w:tc>
          <w:tcPr>
            <w:tcW w:w="1370"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n</w:t>
            </w:r>
          </w:p>
        </w:tc>
        <w:tc>
          <w:tcPr>
            <w:tcW w:w="1589"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w:t>
            </w:r>
          </w:p>
        </w:tc>
      </w:tr>
      <w:tr w:rsidR="00AE0763">
        <w:tc>
          <w:tcPr>
            <w:tcW w:w="106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w:t>
            </w:r>
          </w:p>
        </w:tc>
        <w:tc>
          <w:tcPr>
            <w:tcW w:w="4276"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hypertension</w:t>
            </w:r>
          </w:p>
        </w:tc>
        <w:tc>
          <w:tcPr>
            <w:tcW w:w="1370"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18</w:t>
            </w:r>
          </w:p>
        </w:tc>
        <w:tc>
          <w:tcPr>
            <w:tcW w:w="1589"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24.0</w:t>
            </w:r>
          </w:p>
        </w:tc>
      </w:tr>
      <w:tr w:rsidR="00AE0763">
        <w:tc>
          <w:tcPr>
            <w:tcW w:w="106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2</w:t>
            </w:r>
          </w:p>
        </w:tc>
        <w:tc>
          <w:tcPr>
            <w:tcW w:w="4276"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gastritis</w:t>
            </w:r>
          </w:p>
        </w:tc>
        <w:tc>
          <w:tcPr>
            <w:tcW w:w="1370"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14</w:t>
            </w:r>
          </w:p>
        </w:tc>
        <w:tc>
          <w:tcPr>
            <w:tcW w:w="1589"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18.7</w:t>
            </w:r>
          </w:p>
        </w:tc>
      </w:tr>
      <w:tr w:rsidR="00AE0763">
        <w:tc>
          <w:tcPr>
            <w:tcW w:w="106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3</w:t>
            </w:r>
          </w:p>
        </w:tc>
        <w:tc>
          <w:tcPr>
            <w:tcW w:w="4276"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duodenal ulcer</w:t>
            </w:r>
          </w:p>
        </w:tc>
        <w:tc>
          <w:tcPr>
            <w:tcW w:w="1370"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2</w:t>
            </w:r>
          </w:p>
        </w:tc>
        <w:tc>
          <w:tcPr>
            <w:tcW w:w="1589"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2.7</w:t>
            </w:r>
          </w:p>
        </w:tc>
      </w:tr>
      <w:tr w:rsidR="00AE0763">
        <w:tc>
          <w:tcPr>
            <w:tcW w:w="106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4</w:t>
            </w:r>
          </w:p>
        </w:tc>
        <w:tc>
          <w:tcPr>
            <w:tcW w:w="4276"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biliary dyskinesia</w:t>
            </w:r>
          </w:p>
        </w:tc>
        <w:tc>
          <w:tcPr>
            <w:tcW w:w="1370"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8</w:t>
            </w:r>
          </w:p>
        </w:tc>
        <w:tc>
          <w:tcPr>
            <w:tcW w:w="1589"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10.7</w:t>
            </w:r>
          </w:p>
        </w:tc>
      </w:tr>
      <w:tr w:rsidR="00AE0763">
        <w:tc>
          <w:tcPr>
            <w:tcW w:w="106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5</w:t>
            </w:r>
          </w:p>
        </w:tc>
        <w:tc>
          <w:tcPr>
            <w:tcW w:w="4276" w:type="dxa"/>
          </w:tcPr>
          <w:p w:rsidR="00AE0763" w:rsidRDefault="00912C9B">
            <w:pPr>
              <w:tabs>
                <w:tab w:val="left" w:pos="34"/>
              </w:tabs>
              <w:spacing w:line="360" w:lineRule="auto"/>
              <w:ind w:left="426" w:right="139"/>
              <w:jc w:val="both"/>
              <w:rPr>
                <w:sz w:val="28"/>
                <w:szCs w:val="28"/>
                <w:highlight w:val="white"/>
              </w:rPr>
            </w:pPr>
            <w:r>
              <w:rPr>
                <w:sz w:val="28"/>
                <w:szCs w:val="28"/>
                <w:highlight w:val="white"/>
              </w:rPr>
              <w:t>chronic cholecystitis</w:t>
            </w:r>
          </w:p>
        </w:tc>
        <w:tc>
          <w:tcPr>
            <w:tcW w:w="1370"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7</w:t>
            </w:r>
          </w:p>
        </w:tc>
        <w:tc>
          <w:tcPr>
            <w:tcW w:w="1589"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9.3</w:t>
            </w:r>
          </w:p>
        </w:tc>
      </w:tr>
      <w:tr w:rsidR="00AE0763">
        <w:tc>
          <w:tcPr>
            <w:tcW w:w="106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6</w:t>
            </w:r>
          </w:p>
        </w:tc>
        <w:tc>
          <w:tcPr>
            <w:tcW w:w="4276" w:type="dxa"/>
          </w:tcPr>
          <w:p w:rsidR="00AE0763" w:rsidRDefault="00912C9B">
            <w:pPr>
              <w:tabs>
                <w:tab w:val="left" w:pos="34"/>
              </w:tabs>
              <w:spacing w:line="360" w:lineRule="auto"/>
              <w:ind w:left="426" w:right="139"/>
              <w:jc w:val="both"/>
              <w:rPr>
                <w:sz w:val="28"/>
                <w:szCs w:val="28"/>
                <w:highlight w:val="white"/>
              </w:rPr>
            </w:pPr>
            <w:r>
              <w:rPr>
                <w:sz w:val="28"/>
                <w:szCs w:val="28"/>
                <w:highlight w:val="white"/>
              </w:rPr>
              <w:t>ischemic heart disease</w:t>
            </w:r>
          </w:p>
        </w:tc>
        <w:tc>
          <w:tcPr>
            <w:tcW w:w="1370"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w:t>
            </w:r>
          </w:p>
        </w:tc>
        <w:tc>
          <w:tcPr>
            <w:tcW w:w="1589"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1.3</w:t>
            </w:r>
          </w:p>
        </w:tc>
      </w:tr>
      <w:tr w:rsidR="00AE0763">
        <w:tc>
          <w:tcPr>
            <w:tcW w:w="106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7</w:t>
            </w:r>
          </w:p>
        </w:tc>
        <w:tc>
          <w:tcPr>
            <w:tcW w:w="4276" w:type="dxa"/>
          </w:tcPr>
          <w:p w:rsidR="00AE0763" w:rsidRDefault="00912C9B">
            <w:pPr>
              <w:tabs>
                <w:tab w:val="left" w:pos="34"/>
              </w:tabs>
              <w:spacing w:line="360" w:lineRule="auto"/>
              <w:ind w:left="426" w:right="139"/>
              <w:jc w:val="both"/>
              <w:rPr>
                <w:sz w:val="28"/>
                <w:szCs w:val="28"/>
                <w:highlight w:val="white"/>
              </w:rPr>
            </w:pPr>
            <w:r>
              <w:rPr>
                <w:sz w:val="28"/>
                <w:szCs w:val="28"/>
                <w:highlight w:val="white"/>
              </w:rPr>
              <w:t>cholelithiasis</w:t>
            </w:r>
          </w:p>
        </w:tc>
        <w:tc>
          <w:tcPr>
            <w:tcW w:w="1370"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3</w:t>
            </w:r>
          </w:p>
        </w:tc>
        <w:tc>
          <w:tcPr>
            <w:tcW w:w="1589"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4.0</w:t>
            </w:r>
          </w:p>
        </w:tc>
      </w:tr>
      <w:tr w:rsidR="00AE0763">
        <w:tc>
          <w:tcPr>
            <w:tcW w:w="106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8</w:t>
            </w:r>
          </w:p>
        </w:tc>
        <w:tc>
          <w:tcPr>
            <w:tcW w:w="4276" w:type="dxa"/>
          </w:tcPr>
          <w:p w:rsidR="00AE0763" w:rsidRDefault="00912C9B">
            <w:pPr>
              <w:tabs>
                <w:tab w:val="left" w:pos="34"/>
              </w:tabs>
              <w:spacing w:line="360" w:lineRule="auto"/>
              <w:ind w:left="426" w:right="139"/>
              <w:jc w:val="both"/>
              <w:rPr>
                <w:sz w:val="28"/>
                <w:szCs w:val="28"/>
                <w:highlight w:val="white"/>
              </w:rPr>
            </w:pPr>
            <w:r>
              <w:rPr>
                <w:sz w:val="28"/>
                <w:szCs w:val="28"/>
                <w:highlight w:val="white"/>
              </w:rPr>
              <w:t>osteochondrosis of the spine</w:t>
            </w:r>
          </w:p>
        </w:tc>
        <w:tc>
          <w:tcPr>
            <w:tcW w:w="1370"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12</w:t>
            </w:r>
          </w:p>
        </w:tc>
        <w:tc>
          <w:tcPr>
            <w:tcW w:w="1589"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16.0</w:t>
            </w:r>
          </w:p>
        </w:tc>
      </w:tr>
      <w:tr w:rsidR="00AE0763">
        <w:tc>
          <w:tcPr>
            <w:tcW w:w="106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9</w:t>
            </w:r>
          </w:p>
        </w:tc>
        <w:tc>
          <w:tcPr>
            <w:tcW w:w="4276" w:type="dxa"/>
          </w:tcPr>
          <w:p w:rsidR="00AE0763" w:rsidRDefault="00912C9B">
            <w:pPr>
              <w:tabs>
                <w:tab w:val="left" w:pos="34"/>
              </w:tabs>
              <w:spacing w:line="360" w:lineRule="auto"/>
              <w:ind w:left="426" w:right="139"/>
              <w:jc w:val="both"/>
              <w:rPr>
                <w:sz w:val="28"/>
                <w:szCs w:val="28"/>
                <w:highlight w:val="white"/>
              </w:rPr>
            </w:pPr>
            <w:r>
              <w:rPr>
                <w:sz w:val="28"/>
                <w:szCs w:val="28"/>
                <w:highlight w:val="white"/>
              </w:rPr>
              <w:t>chronic bronchitis</w:t>
            </w:r>
          </w:p>
        </w:tc>
        <w:tc>
          <w:tcPr>
            <w:tcW w:w="1370"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w:t>
            </w:r>
          </w:p>
        </w:tc>
        <w:tc>
          <w:tcPr>
            <w:tcW w:w="1589"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1.3</w:t>
            </w:r>
          </w:p>
        </w:tc>
      </w:tr>
      <w:tr w:rsidR="00AE0763">
        <w:tc>
          <w:tcPr>
            <w:tcW w:w="106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10</w:t>
            </w:r>
          </w:p>
        </w:tc>
        <w:tc>
          <w:tcPr>
            <w:tcW w:w="4276" w:type="dxa"/>
          </w:tcPr>
          <w:p w:rsidR="00AE0763" w:rsidRDefault="00912C9B">
            <w:pPr>
              <w:tabs>
                <w:tab w:val="left" w:pos="34"/>
              </w:tabs>
              <w:spacing w:line="360" w:lineRule="auto"/>
              <w:ind w:left="426" w:right="139"/>
              <w:jc w:val="both"/>
              <w:rPr>
                <w:sz w:val="28"/>
                <w:szCs w:val="28"/>
                <w:highlight w:val="white"/>
              </w:rPr>
            </w:pPr>
            <w:r>
              <w:rPr>
                <w:sz w:val="28"/>
                <w:szCs w:val="28"/>
                <w:highlight w:val="white"/>
              </w:rPr>
              <w:t>bronchial asthma</w:t>
            </w:r>
          </w:p>
        </w:tc>
        <w:tc>
          <w:tcPr>
            <w:tcW w:w="1370"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w:t>
            </w:r>
          </w:p>
        </w:tc>
        <w:tc>
          <w:tcPr>
            <w:tcW w:w="1589"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1.3</w:t>
            </w:r>
          </w:p>
        </w:tc>
      </w:tr>
      <w:tr w:rsidR="00AE0763">
        <w:tc>
          <w:tcPr>
            <w:tcW w:w="106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11</w:t>
            </w:r>
          </w:p>
        </w:tc>
        <w:tc>
          <w:tcPr>
            <w:tcW w:w="4276" w:type="dxa"/>
          </w:tcPr>
          <w:p w:rsidR="00AE0763" w:rsidRDefault="00912C9B">
            <w:pPr>
              <w:tabs>
                <w:tab w:val="left" w:pos="34"/>
              </w:tabs>
              <w:spacing w:line="360" w:lineRule="auto"/>
              <w:ind w:left="426" w:right="139"/>
              <w:jc w:val="both"/>
              <w:rPr>
                <w:sz w:val="28"/>
                <w:szCs w:val="28"/>
                <w:highlight w:val="white"/>
              </w:rPr>
            </w:pPr>
            <w:r>
              <w:rPr>
                <w:sz w:val="28"/>
                <w:szCs w:val="28"/>
                <w:highlight w:val="white"/>
              </w:rPr>
              <w:t>diseases of the urinary tract</w:t>
            </w:r>
          </w:p>
        </w:tc>
        <w:tc>
          <w:tcPr>
            <w:tcW w:w="1370"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2</w:t>
            </w:r>
          </w:p>
        </w:tc>
        <w:tc>
          <w:tcPr>
            <w:tcW w:w="1589"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2.7</w:t>
            </w:r>
          </w:p>
        </w:tc>
      </w:tr>
      <w:tr w:rsidR="00AE0763">
        <w:tc>
          <w:tcPr>
            <w:tcW w:w="106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12</w:t>
            </w:r>
          </w:p>
        </w:tc>
        <w:tc>
          <w:tcPr>
            <w:tcW w:w="4276" w:type="dxa"/>
          </w:tcPr>
          <w:p w:rsidR="00AE0763" w:rsidRDefault="00912C9B">
            <w:pPr>
              <w:tabs>
                <w:tab w:val="left" w:pos="426"/>
              </w:tabs>
              <w:spacing w:line="360" w:lineRule="auto"/>
              <w:ind w:left="426" w:right="139" w:firstLine="33"/>
              <w:jc w:val="both"/>
              <w:rPr>
                <w:sz w:val="28"/>
                <w:szCs w:val="28"/>
                <w:highlight w:val="white"/>
              </w:rPr>
            </w:pPr>
            <w:r>
              <w:rPr>
                <w:sz w:val="28"/>
                <w:szCs w:val="28"/>
                <w:highlight w:val="white"/>
              </w:rPr>
              <w:t>gynecological pathology (myoma or uterine polyp, chronic adnexitis)</w:t>
            </w:r>
          </w:p>
        </w:tc>
        <w:tc>
          <w:tcPr>
            <w:tcW w:w="1370"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8</w:t>
            </w:r>
          </w:p>
        </w:tc>
        <w:tc>
          <w:tcPr>
            <w:tcW w:w="1589"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10.7</w:t>
            </w:r>
          </w:p>
        </w:tc>
      </w:tr>
      <w:tr w:rsidR="00AE0763">
        <w:tc>
          <w:tcPr>
            <w:tcW w:w="106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13</w:t>
            </w:r>
          </w:p>
        </w:tc>
        <w:tc>
          <w:tcPr>
            <w:tcW w:w="4276" w:type="dxa"/>
          </w:tcPr>
          <w:p w:rsidR="00AE0763" w:rsidRDefault="00912C9B">
            <w:pPr>
              <w:tabs>
                <w:tab w:val="left" w:pos="426"/>
              </w:tabs>
              <w:spacing w:line="360" w:lineRule="auto"/>
              <w:ind w:left="426" w:right="139" w:firstLine="33"/>
              <w:jc w:val="both"/>
              <w:rPr>
                <w:sz w:val="28"/>
                <w:szCs w:val="28"/>
                <w:highlight w:val="white"/>
              </w:rPr>
            </w:pPr>
            <w:r>
              <w:rPr>
                <w:sz w:val="28"/>
                <w:szCs w:val="28"/>
                <w:highlight w:val="white"/>
              </w:rPr>
              <w:t>oncological diseases</w:t>
            </w:r>
          </w:p>
        </w:tc>
        <w:tc>
          <w:tcPr>
            <w:tcW w:w="1370"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w:t>
            </w:r>
          </w:p>
        </w:tc>
        <w:tc>
          <w:tcPr>
            <w:tcW w:w="1589"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1.3</w:t>
            </w:r>
          </w:p>
        </w:tc>
      </w:tr>
      <w:tr w:rsidR="00AE0763">
        <w:tc>
          <w:tcPr>
            <w:tcW w:w="106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14</w:t>
            </w:r>
          </w:p>
        </w:tc>
        <w:tc>
          <w:tcPr>
            <w:tcW w:w="4276" w:type="dxa"/>
          </w:tcPr>
          <w:p w:rsidR="00AE0763" w:rsidRDefault="00912C9B">
            <w:pPr>
              <w:tabs>
                <w:tab w:val="left" w:pos="426"/>
              </w:tabs>
              <w:spacing w:line="360" w:lineRule="auto"/>
              <w:ind w:left="426" w:right="139" w:firstLine="33"/>
              <w:jc w:val="both"/>
              <w:rPr>
                <w:sz w:val="28"/>
                <w:szCs w:val="28"/>
                <w:highlight w:val="white"/>
              </w:rPr>
            </w:pPr>
            <w:r>
              <w:rPr>
                <w:sz w:val="28"/>
                <w:szCs w:val="28"/>
                <w:highlight w:val="white"/>
              </w:rPr>
              <w:t>varicose veins of the lower extremities</w:t>
            </w:r>
          </w:p>
        </w:tc>
        <w:tc>
          <w:tcPr>
            <w:tcW w:w="1370"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4</w:t>
            </w:r>
          </w:p>
        </w:tc>
        <w:tc>
          <w:tcPr>
            <w:tcW w:w="1589"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5.3</w:t>
            </w:r>
          </w:p>
        </w:tc>
      </w:tr>
      <w:tr w:rsidR="00AE0763">
        <w:tc>
          <w:tcPr>
            <w:tcW w:w="106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15</w:t>
            </w:r>
          </w:p>
        </w:tc>
        <w:tc>
          <w:tcPr>
            <w:tcW w:w="4276" w:type="dxa"/>
          </w:tcPr>
          <w:p w:rsidR="00AE0763" w:rsidRDefault="00912C9B">
            <w:pPr>
              <w:tabs>
                <w:tab w:val="left" w:pos="426"/>
              </w:tabs>
              <w:spacing w:line="360" w:lineRule="auto"/>
              <w:ind w:left="426" w:right="139" w:firstLine="33"/>
              <w:jc w:val="both"/>
              <w:rPr>
                <w:sz w:val="28"/>
                <w:szCs w:val="28"/>
                <w:highlight w:val="white"/>
              </w:rPr>
            </w:pPr>
            <w:r>
              <w:rPr>
                <w:sz w:val="28"/>
                <w:szCs w:val="28"/>
                <w:highlight w:val="white"/>
              </w:rPr>
              <w:t>diabetes mellitus</w:t>
            </w:r>
          </w:p>
        </w:tc>
        <w:tc>
          <w:tcPr>
            <w:tcW w:w="1370"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2</w:t>
            </w:r>
          </w:p>
        </w:tc>
        <w:tc>
          <w:tcPr>
            <w:tcW w:w="1589"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2.7</w:t>
            </w:r>
          </w:p>
        </w:tc>
      </w:tr>
      <w:tr w:rsidR="00AE0763">
        <w:tc>
          <w:tcPr>
            <w:tcW w:w="106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16</w:t>
            </w:r>
          </w:p>
        </w:tc>
        <w:tc>
          <w:tcPr>
            <w:tcW w:w="4276" w:type="dxa"/>
          </w:tcPr>
          <w:p w:rsidR="00AE0763" w:rsidRDefault="00912C9B">
            <w:pPr>
              <w:tabs>
                <w:tab w:val="left" w:pos="426"/>
              </w:tabs>
              <w:spacing w:line="360" w:lineRule="auto"/>
              <w:ind w:left="426" w:right="139" w:firstLine="33"/>
              <w:jc w:val="both"/>
              <w:rPr>
                <w:sz w:val="28"/>
                <w:szCs w:val="28"/>
                <w:highlight w:val="white"/>
              </w:rPr>
            </w:pPr>
            <w:r>
              <w:rPr>
                <w:sz w:val="28"/>
                <w:szCs w:val="28"/>
                <w:highlight w:val="white"/>
              </w:rPr>
              <w:t>nodal goiter</w:t>
            </w:r>
          </w:p>
        </w:tc>
        <w:tc>
          <w:tcPr>
            <w:tcW w:w="1370"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w:t>
            </w:r>
          </w:p>
        </w:tc>
        <w:tc>
          <w:tcPr>
            <w:tcW w:w="1589"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1.3</w:t>
            </w:r>
          </w:p>
        </w:tc>
      </w:tr>
      <w:tr w:rsidR="00AE0763">
        <w:tc>
          <w:tcPr>
            <w:tcW w:w="1061"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17</w:t>
            </w:r>
          </w:p>
        </w:tc>
        <w:tc>
          <w:tcPr>
            <w:tcW w:w="4276" w:type="dxa"/>
          </w:tcPr>
          <w:p w:rsidR="00AE0763" w:rsidRDefault="00912C9B">
            <w:pPr>
              <w:tabs>
                <w:tab w:val="left" w:pos="426"/>
              </w:tabs>
              <w:spacing w:line="360" w:lineRule="auto"/>
              <w:ind w:left="426" w:right="139" w:firstLine="33"/>
              <w:jc w:val="both"/>
              <w:rPr>
                <w:sz w:val="28"/>
                <w:szCs w:val="28"/>
                <w:highlight w:val="white"/>
              </w:rPr>
            </w:pPr>
            <w:r>
              <w:rPr>
                <w:sz w:val="28"/>
                <w:szCs w:val="28"/>
                <w:highlight w:val="white"/>
              </w:rPr>
              <w:t>combined somatic pathology</w:t>
            </w:r>
          </w:p>
        </w:tc>
        <w:tc>
          <w:tcPr>
            <w:tcW w:w="1370"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19</w:t>
            </w:r>
          </w:p>
        </w:tc>
        <w:tc>
          <w:tcPr>
            <w:tcW w:w="1589" w:type="dxa"/>
          </w:tcPr>
          <w:p w:rsidR="00AE0763" w:rsidRDefault="00912C9B">
            <w:pPr>
              <w:tabs>
                <w:tab w:val="left" w:pos="426"/>
              </w:tabs>
              <w:spacing w:line="360" w:lineRule="auto"/>
              <w:ind w:left="426" w:right="139"/>
              <w:jc w:val="both"/>
              <w:rPr>
                <w:sz w:val="28"/>
                <w:szCs w:val="28"/>
                <w:highlight w:val="white"/>
              </w:rPr>
            </w:pPr>
            <w:r>
              <w:rPr>
                <w:sz w:val="28"/>
                <w:szCs w:val="28"/>
                <w:highlight w:val="white"/>
              </w:rPr>
              <w:t>25.3</w:t>
            </w:r>
          </w:p>
        </w:tc>
      </w:tr>
    </w:tbl>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At the moment, stress is a problem of the 21st century, which is not surprising, because every day people are surrounded by many factors that are determinant for the occurrence of stress. The most vulnerable groups of the population, working in the field of "person-to-person" professions, are teachers, medical staff, psychologists, managers, lawyers and a number of other professions. The last few years have been particularly difficult for medical staff, </w:t>
      </w:r>
      <w:r>
        <w:rPr>
          <w:rFonts w:ascii="Times New Roman" w:eastAsia="Times New Roman" w:hAnsi="Times New Roman" w:cs="Times New Roman"/>
          <w:sz w:val="28"/>
          <w:szCs w:val="28"/>
          <w:highlight w:val="white"/>
        </w:rPr>
        <w:lastRenderedPageBreak/>
        <w:t>starting from the peak of the COVID-19 pandemic. It is especially difficult at the moment for combat medics who are on the front lines and save lives every day, risking their own. All this could not have passed without consequences for the mental state and health of doctors. Therefore, the question naturally arises of how to deal with stress, what methods to use for stress prevention in order to minimize the negative impact of stress on the human body, which, in turn, led to an improvement in the work capacity of nurses and reduced the percentage of professional burnout among this profession.</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When treating depression, it is important to follow recommendations regarding work and rest, sleep hygiene, and other measures that are part of a healthy lifestyle.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Set reasonable demands on yourself – this applies to both work and relationships with others, set realistic goals, if possible, avoid people you find unpleasant to communicate with, and maintain regular communication with loved ones who can provide emotional support.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Plan positive events – meet with friends, listen to music, play sports or exercise at least twice a week. Good emotions increase serotonin and dopamine levels, regular physical exercise reduces the level of the stress hormone cortisol, which helps reduce anxiety.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Any physical activity plays a positive role in depression, among the most popular are dancing, yoga, swimming, playing tennis, and other sports. It is recommended to give preference to group classes or in a company.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Meditation techniques and yoga classes also have a good effect.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Try to spend more time outdoors during the daylight hours – a number of studies have shown the positive effect of sunlight on the course and prevention of depression.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An important component of treating depression is normalizing sleep, </w:t>
      </w:r>
      <w:r>
        <w:rPr>
          <w:rFonts w:ascii="Times New Roman" w:eastAsia="Times New Roman" w:hAnsi="Times New Roman" w:cs="Times New Roman"/>
          <w:sz w:val="28"/>
          <w:szCs w:val="28"/>
          <w:highlight w:val="white"/>
        </w:rPr>
        <w:br/>
        <w:t xml:space="preserve">as its lack leads to physical fatigue and emotional exhaustion.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Limit your intake of drinks containing caffeine and alcohol – they increase anxiety and contribute to insomnia. </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lastRenderedPageBreak/>
        <w:drawing>
          <wp:inline distT="0" distB="0" distL="0" distR="0">
            <wp:extent cx="5867400" cy="7507625"/>
            <wp:effectExtent l="0" t="0" r="0" b="0"/>
            <wp:docPr id="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9"/>
                    <a:srcRect b="3877"/>
                    <a:stretch>
                      <a:fillRect/>
                    </a:stretch>
                  </pic:blipFill>
                  <pic:spPr>
                    <a:xfrm>
                      <a:off x="0" y="0"/>
                      <a:ext cx="5867400" cy="7507625"/>
                    </a:xfrm>
                    <a:prstGeom prst="rect">
                      <a:avLst/>
                    </a:prstGeom>
                    <a:ln/>
                  </pic:spPr>
                </pic:pic>
              </a:graphicData>
            </a:graphic>
          </wp:inline>
        </w:drawing>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Figure 3.1.3. The chronic diseases of the nurses.</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Watch your diet – try to eat 4-5 times a day, even if you have no appetite, because low blood glucose levels have a negative effect on the course of depression. Nutrition should be complete in terms of the main food groups content, vitamins and trace elements to maintain physical strength and normal </w:t>
      </w:r>
      <w:r>
        <w:rPr>
          <w:rFonts w:ascii="Times New Roman" w:eastAsia="Times New Roman" w:hAnsi="Times New Roman" w:cs="Times New Roman"/>
          <w:sz w:val="28"/>
          <w:szCs w:val="28"/>
          <w:highlight w:val="white"/>
        </w:rPr>
        <w:lastRenderedPageBreak/>
        <w:t xml:space="preserve">metabolism of biologically active substances in the CNS. The synthesis of serotonin – one of the hormones that affect mood, requires sufficient amounts of folic acid and vitamin B6, which are found in bananas, citrus fruits, green vegetables, and nuts. Vitamin C, the main sources of which are fresh fruits and vegetables, also has a positive effect on the course of depression. It is not recommended to abuse confectionery and sweets. This leads to sharp fluctuations in blood glucose levels and can increase the feeling of fatigue and exhaustion.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In order to ensure the effectiveness and safety of pharmacotherapy, it is necessary to follow the recommendations for the use of medicines prescribed by a doctor and the instructions for the medical use of drugs. Until the end of the treatment course, the primary and/or secondary medicine packaging  should be kept, which indicates the name, form of release, dose, batch, release date, expiration date, and manufacturer's name.</w:t>
      </w:r>
    </w:p>
    <w:p w:rsidR="00AE0763" w:rsidRDefault="00AE0763">
      <w:pPr>
        <w:tabs>
          <w:tab w:val="left" w:pos="426"/>
        </w:tabs>
        <w:spacing w:line="360" w:lineRule="auto"/>
        <w:ind w:left="426" w:right="139"/>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jc w:val="both"/>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3.2. The level of depression and anxiety was recorded using the Beck Depression Scale (BDI).</w:t>
      </w:r>
    </w:p>
    <w:p w:rsidR="00AE0763" w:rsidRDefault="00AE0763">
      <w:pPr>
        <w:tabs>
          <w:tab w:val="left" w:pos="426"/>
        </w:tabs>
        <w:spacing w:line="360" w:lineRule="auto"/>
        <w:ind w:left="426" w:right="139"/>
        <w:jc w:val="both"/>
        <w:rPr>
          <w:rFonts w:ascii="Times New Roman" w:eastAsia="Times New Roman" w:hAnsi="Times New Roman" w:cs="Times New Roman"/>
          <w:sz w:val="28"/>
          <w:szCs w:val="28"/>
          <w:highlight w:val="white"/>
        </w:rPr>
      </w:pP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We interviewed 75 nurses who worked in inpatient departments of general hospitals.</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All nurses were female.</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There was a predominance of women over men due to the gender characteristics of the medical profession.</w:t>
      </w:r>
    </w:p>
    <w:p w:rsidR="00AE0763" w:rsidRDefault="00912C9B">
      <w:pPr>
        <w:tabs>
          <w:tab w:val="left" w:pos="426"/>
        </w:tabs>
        <w:spacing w:line="360" w:lineRule="auto"/>
        <w:ind w:left="426" w:right="139" w:firstLine="127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With the help of the Вeсk questionnaire, depression was ruled out in 25 patients (33,3%). Moderate depression was detected in 8 patients (10.6%) and mild depression in 17 (22.7%) of medical workers (Fig.3.2.1). </w:t>
      </w:r>
    </w:p>
    <w:p w:rsidR="00AE0763" w:rsidRDefault="00AE0763">
      <w:pPr>
        <w:tabs>
          <w:tab w:val="left" w:pos="426"/>
        </w:tabs>
        <w:spacing w:line="360" w:lineRule="auto"/>
        <w:ind w:left="426" w:right="139" w:firstLine="1276"/>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1276"/>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lastRenderedPageBreak/>
        <w:drawing>
          <wp:inline distT="0" distB="0" distL="0" distR="0">
            <wp:extent cx="4495800" cy="2476500"/>
            <wp:effectExtent l="0" t="0" r="0" b="0"/>
            <wp:docPr id="1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
                    <a:srcRect/>
                    <a:stretch>
                      <a:fillRect/>
                    </a:stretch>
                  </pic:blipFill>
                  <pic:spPr>
                    <a:xfrm>
                      <a:off x="0" y="0"/>
                      <a:ext cx="4495800" cy="2476500"/>
                    </a:xfrm>
                    <a:prstGeom prst="rect">
                      <a:avLst/>
                    </a:prstGeom>
                    <a:ln/>
                  </pic:spPr>
                </pic:pic>
              </a:graphicData>
            </a:graphic>
          </wp:inline>
        </w:drawing>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right="1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Figure 3.2.1. </w:t>
      </w:r>
      <w:r>
        <w:rPr>
          <w:rFonts w:ascii="Times New Roman" w:eastAsia="Times New Roman" w:hAnsi="Times New Roman" w:cs="Times New Roman"/>
          <w:sz w:val="28"/>
          <w:szCs w:val="28"/>
        </w:rPr>
        <w:t>Frequency of depression in nurses</w:t>
      </w:r>
    </w:p>
    <w:p w:rsidR="00AE0763" w:rsidRDefault="00AE0763">
      <w:pPr>
        <w:tabs>
          <w:tab w:val="left" w:pos="426"/>
        </w:tabs>
        <w:spacing w:line="360" w:lineRule="auto"/>
        <w:ind w:left="426" w:right="139" w:firstLine="1276"/>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127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Suicidal thoughts were detected in 10%, while suicidal readiness was not diagnosed. </w:t>
      </w:r>
    </w:p>
    <w:p w:rsidR="00AE0763" w:rsidRDefault="00912C9B">
      <w:pPr>
        <w:tabs>
          <w:tab w:val="left" w:pos="426"/>
        </w:tabs>
        <w:spacing w:line="360" w:lineRule="auto"/>
        <w:ind w:left="426" w:right="139" w:firstLine="1134"/>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DSM-III major depression, assessed by the HDS/MES, was defined by scores of 1 or more for items located in category B. </w:t>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426" w:right="1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Depressive mood was detected in 36 people (48,0%), </w:t>
      </w:r>
      <w:r>
        <w:rPr>
          <w:rFonts w:ascii="Times New Roman" w:eastAsia="Times New Roman" w:hAnsi="Times New Roman" w:cs="Times New Roman"/>
          <w:sz w:val="28"/>
          <w:szCs w:val="28"/>
        </w:rPr>
        <w:t>of them</w:t>
      </w:r>
    </w:p>
    <w:p w:rsidR="00AE0763" w:rsidRDefault="00912C9B">
      <w:pPr>
        <w:tabs>
          <w:tab w:val="left" w:pos="426"/>
        </w:tabs>
        <w:spacing w:line="360" w:lineRule="auto"/>
        <w:ind w:left="426" w:right="139" w:firstLine="1134"/>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suicidal thoughts in 10 (13,3%), </w:t>
      </w:r>
    </w:p>
    <w:p w:rsidR="00AE0763" w:rsidRDefault="00912C9B">
      <w:pPr>
        <w:tabs>
          <w:tab w:val="left" w:pos="426"/>
        </w:tabs>
        <w:spacing w:line="360" w:lineRule="auto"/>
        <w:ind w:left="426" w:right="139" w:firstLine="1134"/>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mental anxiety in 15 people (20,0%), </w:t>
      </w:r>
    </w:p>
    <w:p w:rsidR="00AE0763" w:rsidRDefault="00912C9B">
      <w:pPr>
        <w:tabs>
          <w:tab w:val="left" w:pos="426"/>
        </w:tabs>
        <w:spacing w:line="360" w:lineRule="auto"/>
        <w:ind w:left="426" w:right="139" w:firstLine="1134"/>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generalized insomnia in 12 ( 16,0%), </w:t>
      </w:r>
    </w:p>
    <w:p w:rsidR="00AE0763" w:rsidRDefault="00912C9B">
      <w:pPr>
        <w:tabs>
          <w:tab w:val="left" w:pos="426"/>
        </w:tabs>
        <w:spacing w:line="360" w:lineRule="auto"/>
        <w:ind w:left="426" w:right="139" w:firstLine="1134"/>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somatic symptoms in 13 (52%), </w:t>
      </w:r>
    </w:p>
    <w:p w:rsidR="00AE0763" w:rsidRDefault="00912C9B">
      <w:pPr>
        <w:tabs>
          <w:tab w:val="left" w:pos="426"/>
        </w:tabs>
        <w:spacing w:line="360" w:lineRule="auto"/>
        <w:ind w:left="426" w:right="139" w:firstLine="1134"/>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intellectual retardation in 18 (17,3%), </w:t>
      </w:r>
    </w:p>
    <w:p w:rsidR="00AE0763" w:rsidRDefault="00912C9B">
      <w:pPr>
        <w:tabs>
          <w:tab w:val="left" w:pos="426"/>
        </w:tabs>
        <w:spacing w:line="360" w:lineRule="auto"/>
        <w:ind w:left="426" w:right="139" w:firstLine="1134"/>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emotional retardation in 11 people (14,7%), </w:t>
      </w:r>
    </w:p>
    <w:p w:rsidR="00AE0763" w:rsidRDefault="00912C9B">
      <w:pPr>
        <w:tabs>
          <w:tab w:val="left" w:pos="426"/>
        </w:tabs>
        <w:spacing w:line="360" w:lineRule="auto"/>
        <w:ind w:left="426" w:right="139" w:firstLine="1134"/>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fatigue and pain syndrome in 9 people (12,0%),</w:t>
      </w:r>
    </w:p>
    <w:p w:rsidR="00AE0763" w:rsidRDefault="00912C9B">
      <w:pPr>
        <w:tabs>
          <w:tab w:val="left" w:pos="426"/>
        </w:tabs>
        <w:spacing w:line="360" w:lineRule="auto"/>
        <w:ind w:left="426" w:right="139" w:firstLine="1134"/>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рoor appetite or significant loss of body weight was noted in 8 (10,7%) people, </w:t>
      </w:r>
    </w:p>
    <w:p w:rsidR="00AE0763" w:rsidRDefault="00912C9B">
      <w:pPr>
        <w:tabs>
          <w:tab w:val="left" w:pos="426"/>
        </w:tabs>
        <w:spacing w:line="360" w:lineRule="auto"/>
        <w:ind w:left="426" w:right="139" w:firstLine="1134"/>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insomnia — in 14 (18,7%), </w:t>
      </w:r>
    </w:p>
    <w:p w:rsidR="00AE0763" w:rsidRDefault="00912C9B">
      <w:pPr>
        <w:tabs>
          <w:tab w:val="left" w:pos="426"/>
        </w:tabs>
        <w:spacing w:line="360" w:lineRule="auto"/>
        <w:ind w:left="426" w:right="139" w:firstLine="1134"/>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psychomotor agitation or inhibition — in 16 (21,3%), </w:t>
      </w:r>
    </w:p>
    <w:p w:rsidR="00AE0763" w:rsidRDefault="00912C9B">
      <w:pPr>
        <w:tabs>
          <w:tab w:val="left" w:pos="426"/>
        </w:tabs>
        <w:spacing w:line="360" w:lineRule="auto"/>
        <w:ind w:left="426" w:right="139" w:firstLine="1134"/>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loss of interest or pleasure — in 12 (16,0%), </w:t>
      </w:r>
    </w:p>
    <w:p w:rsidR="00AE0763" w:rsidRDefault="00912C9B">
      <w:pPr>
        <w:tabs>
          <w:tab w:val="left" w:pos="426"/>
        </w:tabs>
        <w:spacing w:line="360" w:lineRule="auto"/>
        <w:ind w:left="426" w:right="139" w:firstLine="1134"/>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loss of energy, weakness — in 25 people (33,3%),</w:t>
      </w:r>
    </w:p>
    <w:p w:rsidR="00AE0763" w:rsidRDefault="00912C9B">
      <w:pPr>
        <w:tabs>
          <w:tab w:val="left" w:pos="426"/>
        </w:tabs>
        <w:spacing w:line="360" w:lineRule="auto"/>
        <w:ind w:left="426" w:right="139" w:firstLine="1134"/>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self-blame or guilt — in 25 (33,3%), </w:t>
      </w:r>
    </w:p>
    <w:p w:rsidR="00AE0763" w:rsidRDefault="00912C9B">
      <w:pPr>
        <w:tabs>
          <w:tab w:val="left" w:pos="426"/>
        </w:tabs>
        <w:spacing w:line="360" w:lineRule="auto"/>
        <w:ind w:left="426" w:right="139" w:firstLine="1134"/>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reduced ability to think or concentrate — in 16 (21,3%) (Fig.. 3.2.2).</w:t>
      </w:r>
    </w:p>
    <w:p w:rsidR="00AE0763" w:rsidRDefault="00912C9B">
      <w:pPr>
        <w:tabs>
          <w:tab w:val="left" w:pos="426"/>
        </w:tabs>
        <w:spacing w:line="360" w:lineRule="auto"/>
        <w:ind w:left="426" w:right="139" w:firstLine="1134"/>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Against the background of insomnia (in 18.7% of subjects), psychomotor agitation or inhibition (in 16.0%), loss of interest or pleasure appeared in 16.0%, and reduced ability to think or concentrate — in 21.3% of subjects. A mild depression was observed in the medical personnel. </w:t>
      </w:r>
    </w:p>
    <w:p w:rsidR="00AE0763" w:rsidRDefault="00AE0763">
      <w:pPr>
        <w:tabs>
          <w:tab w:val="left" w:pos="426"/>
        </w:tabs>
        <w:spacing w:line="360" w:lineRule="auto"/>
        <w:ind w:left="426" w:right="139" w:firstLine="1134"/>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hanging="142"/>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drawing>
          <wp:inline distT="0" distB="0" distL="0" distR="0">
            <wp:extent cx="6038850" cy="7307730"/>
            <wp:effectExtent l="0" t="0" r="0" b="0"/>
            <wp:docPr id="9"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1"/>
                    <a:srcRect b="3373"/>
                    <a:stretch>
                      <a:fillRect/>
                    </a:stretch>
                  </pic:blipFill>
                  <pic:spPr>
                    <a:xfrm>
                      <a:off x="0" y="0"/>
                      <a:ext cx="6038850" cy="7307730"/>
                    </a:xfrm>
                    <a:prstGeom prst="rect">
                      <a:avLst/>
                    </a:prstGeom>
                    <a:ln/>
                  </pic:spPr>
                </pic:pic>
              </a:graphicData>
            </a:graphic>
          </wp:inline>
        </w:drawing>
      </w:r>
    </w:p>
    <w:p w:rsidR="00AE0763" w:rsidRDefault="00912C9B">
      <w:pPr>
        <w:tabs>
          <w:tab w:val="left" w:pos="426"/>
        </w:tabs>
        <w:spacing w:line="360" w:lineRule="auto"/>
        <w:ind w:left="426" w:right="13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Figure 3.2.2. </w:t>
      </w:r>
      <w:r>
        <w:rPr>
          <w:rFonts w:ascii="Times New Roman" w:eastAsia="Times New Roman" w:hAnsi="Times New Roman" w:cs="Times New Roman"/>
          <w:sz w:val="28"/>
          <w:szCs w:val="28"/>
        </w:rPr>
        <w:t>Frequency of depression symptoms in nurses.</w:t>
      </w:r>
    </w:p>
    <w:p w:rsidR="00AE0763" w:rsidRDefault="00912C9B">
      <w:pPr>
        <w:tabs>
          <w:tab w:val="left" w:pos="426"/>
        </w:tabs>
        <w:spacing w:line="360" w:lineRule="auto"/>
        <w:ind w:left="426" w:right="139" w:firstLine="1134"/>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According to our data, suicidal readiness was not found among medical workers, although 13.3% had suicidal thoughts, and severe depression was not noted among them.</w:t>
      </w:r>
    </w:p>
    <w:p w:rsidR="00AE0763" w:rsidRDefault="00912C9B">
      <w:pPr>
        <w:tabs>
          <w:tab w:val="left" w:pos="426"/>
        </w:tabs>
        <w:spacing w:line="360" w:lineRule="auto"/>
        <w:ind w:left="426" w:right="139" w:firstLine="1134"/>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In stressful situations experienced by doctors, anxiety tension, depression, apathy, thoughts of suicide, the destructive effect of frustration, and violations of fine coordination of efforts were noted.</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The conducted anonymous questionnaire made it possible to establish that, according to the HADS scale, the level of depression and anxiety was probably higher in the nurses of the pediatric departments of the non-infectious profile than in the medical workers of the infectious departments.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In particular, among the interviewees of the nurse,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the loss of satisfaction in life was more likely to be registered (relative risk – 1.3, with an odds ratio – 2.3),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decrease in cheerfulness (daily activity) (relative risk – 1.6, with an odds ratio – 2,4),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indifference to appearance (relative risk – 1.8, with an odds ratio – 3.8),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loss of pleasure from a favorite activity (relative risk – 1.5, with an odds ratio – 3.1). </w:t>
      </w:r>
    </w:p>
    <w:p w:rsidR="00AE0763" w:rsidRDefault="00AE0763">
      <w:pPr>
        <w:ind w:left="426" w:right="139"/>
        <w:jc w:val="both"/>
        <w:rPr>
          <w:rFonts w:ascii="Times New Roman" w:eastAsia="Times New Roman" w:hAnsi="Times New Roman" w:cs="Times New Roman"/>
          <w:sz w:val="28"/>
          <w:szCs w:val="28"/>
          <w:highlight w:val="white"/>
        </w:rPr>
      </w:pP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right="139" w:firstLine="1276"/>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highlight w:val="white"/>
        </w:rPr>
        <w:t xml:space="preserve">3.3. </w:t>
      </w:r>
      <w:r>
        <w:rPr>
          <w:rFonts w:ascii="Times New Roman" w:eastAsia="Times New Roman" w:hAnsi="Times New Roman" w:cs="Times New Roman"/>
          <w:b/>
          <w:sz w:val="28"/>
          <w:szCs w:val="28"/>
        </w:rPr>
        <w:t>Results of the survey of respondents on the HADS scale.</w:t>
      </w:r>
    </w:p>
    <w:p w:rsidR="00AE0763" w:rsidRDefault="00AE076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right="139" w:firstLine="1276"/>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To conduct the study, a questionnaire was created for interviewing nurses based on the Hospital Anxiety and Depression Scale (HADS).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The HADS is a self-report rating scale of 14 items on a 4-point Likert scale (range 0–3). It is designed to measure anxiety and depression (7 items for each subscale). The total score is the sum of the 14 items, and for each subscale the score is the sum of the respective seven items (ranging from 0–21). It is worth noting that items referring to depression symptoms that describe somatic aspects of depression (e.g. insomnia and weight loss) are not included in the scale.</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This scale has two sections for assessing anxiety (HAS) and depression (HDS). When processing the data, the total score is taken into account: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0–9 points – normal,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10–13 – subclinical depression/anxiety,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more than 13 points – clinically pronounced depression.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A survey using the Hospital Anxiety and Depression Scale (HADS) was conducted among 75 nurses working in clinics.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Summing up the results of the study, we obtained data confirming:</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The presence of subclinical anxiety in 13 (17.3%) of nurses, and clinically expressed anxiety in 6 (8,0%) are found.</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 Anxiety and depression negatively affect the performance of professional duties, which was confirmed by 37 (49.3%) of the surveyed respondents.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 Based on the data obtained, we can conclude that the issue of mental health of nurses is a very important factor that affects the quality of professional activity and the quality of life of medical professionals and requires further in-depth study.</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Prospects for further research is in finding new methods and techniques to improve the psychological state of nurses, namely reducing the level of stress during professional activities and its prevention.</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Professional activity in the conditions of uncertainty, lack of time, of information are characteristic of many medical specialties. If a person with the appropriate personality gets into such a situation prerequisites (for example, with a tendency to perfectionism, normativity, hypersociality, etc.), if the professional situation unfolds against the background of other parallel ones stress, this can lead to emotional burnout.</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Unfortunately, many medical workers do not notice the moment when the beloved job acquires a destructive physical character, and they only pay attention to emerging health problems, when this an already advanced pathological process.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That is why methods of training people in helping professions are so relevant, not only skills of psychohygiene, but also methods of self-diagnosis and self-help in professional stress settings. The research demonstrated that if adaptive </w:t>
      </w:r>
      <w:r>
        <w:rPr>
          <w:rFonts w:ascii="Times New Roman" w:eastAsia="Times New Roman" w:hAnsi="Times New Roman" w:cs="Times New Roman"/>
          <w:sz w:val="28"/>
          <w:szCs w:val="28"/>
          <w:highlight w:val="white"/>
        </w:rPr>
        <w:lastRenderedPageBreak/>
        <w:t xml:space="preserve">behavior models are not formed, this niche will be very quickly occupied by non-constructive methods of coping with professional stress.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Based on the obtained research results, it is possible to develop a model of personal qualities for the profession of a nurse.</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Identified personality traits leading to it deformations are emotional lability, characterized by the instability of the mood background, tendency to dramatize events, demonstrativeness, egocentrism, hysteria; psychosthenic character traits characterized by anxiety and suspiciousness, as well as impulsiveness, conflict and aggressiveness.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So that the professional won`t deform, it is necessary to have personality qualities that are directly opposite to those that lead to its deformation.</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This study confirmed that nursing work is associated with numerous painful experiences and nervous breakdowns. This often leads to stress states, pain, anxiety and depressive states  and their high values  were shown in patients with various diseases, both of somatic and nervous system.</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As recommendations for prevention neurotic disorders as a result of professional activity can be offered to master skills of internal relaxation, stress relief and avoidance of catastrophizing.</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It is necessary to hold classes for nurses on physical and psycho-emotional relaxation, schools of back pain and headache. Also constantly to carry out work aimed at a healthy climate in in a professional environment, and the regular work of a clinical psychologist with doctors and nurses are necessity.</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rPr>
      </w:pP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right="139" w:firstLine="127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highlight w:val="white"/>
        </w:rPr>
        <w:t xml:space="preserve">3.4. </w:t>
      </w:r>
      <w:r>
        <w:rPr>
          <w:rFonts w:ascii="Times New Roman" w:eastAsia="Times New Roman" w:hAnsi="Times New Roman" w:cs="Times New Roman"/>
          <w:b/>
          <w:sz w:val="28"/>
          <w:szCs w:val="28"/>
        </w:rPr>
        <w:t>Results of the survey of respondents on the Likert scale.</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The next questionnaire was created for surveying </w:t>
      </w:r>
      <w:r>
        <w:rPr>
          <w:rFonts w:ascii="Times New Roman" w:eastAsia="Times New Roman" w:hAnsi="Times New Roman" w:cs="Times New Roman"/>
          <w:sz w:val="28"/>
          <w:szCs w:val="28"/>
        </w:rPr>
        <w:t>respondents</w:t>
      </w:r>
      <w:r>
        <w:rPr>
          <w:rFonts w:ascii="Times New Roman" w:eastAsia="Times New Roman" w:hAnsi="Times New Roman" w:cs="Times New Roman"/>
          <w:sz w:val="28"/>
          <w:szCs w:val="28"/>
          <w:highlight w:val="white"/>
        </w:rPr>
        <w:t xml:space="preserve"> based on the Likert scale. The questions were formed as closed and open in order to be able to fully assess the level of quality of medical services provided by nurses in stressful conditions.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In the theoretical part of the questionnaire, to determine awareness of stress, we asked an open question: “What is stress?” 72 (96,0%) of respondents </w:t>
      </w:r>
      <w:r>
        <w:rPr>
          <w:rFonts w:ascii="Times New Roman" w:eastAsia="Times New Roman" w:hAnsi="Times New Roman" w:cs="Times New Roman"/>
          <w:sz w:val="28"/>
          <w:szCs w:val="28"/>
          <w:highlight w:val="white"/>
        </w:rPr>
        <w:lastRenderedPageBreak/>
        <w:t xml:space="preserve">answered the question correctly, 3 (4%) of respondents made minor inaccuracies, and 4 were undecided and their questionnaires were not included in the statistical analysis. Therefore, we can conclude that the respondents who took part in the survey are well-versed in the subject of the study </w:t>
      </w:r>
      <w:r>
        <w:rPr>
          <w:rFonts w:ascii="Times New Roman" w:eastAsia="Times New Roman" w:hAnsi="Times New Roman" w:cs="Times New Roman"/>
          <w:sz w:val="28"/>
          <w:szCs w:val="28"/>
        </w:rPr>
        <w:t>[53].</w:t>
      </w:r>
      <w:r>
        <w:rPr>
          <w:rFonts w:ascii="Times New Roman" w:eastAsia="Times New Roman" w:hAnsi="Times New Roman" w:cs="Times New Roman"/>
          <w:sz w:val="28"/>
          <w:szCs w:val="28"/>
          <w:highlight w:val="white"/>
        </w:rPr>
        <w:t xml:space="preserve">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The next question was a practical one: “Have they had any cases of stressful situations related to the performance of professional duties?”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The positive answer “Yes, there were” was given by 61 (81,3%) of the respondents, 14 (18,7) % – “There were and often”, 3% – a negative answer, 0 – did not specify the answer (Fig. 3.4.1). In the following, each question of the questionnaire was ranked from 0 to 4 points.</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drawing>
          <wp:inline distT="0" distB="0" distL="0" distR="0">
            <wp:extent cx="4438650" cy="2171700"/>
            <wp:effectExtent l="0" t="0" r="0" b="0"/>
            <wp:docPr id="12"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2"/>
                    <a:srcRect/>
                    <a:stretch>
                      <a:fillRect/>
                    </a:stretch>
                  </pic:blipFill>
                  <pic:spPr>
                    <a:xfrm>
                      <a:off x="0" y="0"/>
                      <a:ext cx="4438650" cy="2171700"/>
                    </a:xfrm>
                    <a:prstGeom prst="rect">
                      <a:avLst/>
                    </a:prstGeom>
                    <a:ln/>
                  </pic:spPr>
                </pic:pic>
              </a:graphicData>
            </a:graphic>
          </wp:inline>
        </w:drawing>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right="13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Figure 3.4.1. The results of answer to </w:t>
      </w:r>
      <w:r>
        <w:rPr>
          <w:rFonts w:ascii="Times New Roman" w:eastAsia="Times New Roman" w:hAnsi="Times New Roman" w:cs="Times New Roman"/>
          <w:sz w:val="28"/>
          <w:szCs w:val="28"/>
        </w:rPr>
        <w:t xml:space="preserve">question </w:t>
      </w:r>
      <w:r>
        <w:rPr>
          <w:rFonts w:ascii="Times New Roman" w:eastAsia="Times New Roman" w:hAnsi="Times New Roman" w:cs="Times New Roman"/>
          <w:sz w:val="28"/>
          <w:szCs w:val="28"/>
          <w:highlight w:val="white"/>
        </w:rPr>
        <w:t>“Have they had any cases of stressful situations related to the performance of professional duties?”</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To determine the manifestations of stress in junior medical staff, namely anxiety, we asked a number of questions: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“How often do you feel internal tension?”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51 – (68,0%) of respondents answered “Sometimes”,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14 – (18,7%) – answered “Often”,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7 (9,3%) – chose the option “Never”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 (4,0%) – the option “Very often” (Fig. 3.4.2).</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lastRenderedPageBreak/>
        <w:drawing>
          <wp:inline distT="0" distB="0" distL="0" distR="0">
            <wp:extent cx="4438650" cy="2362200"/>
            <wp:effectExtent l="0" t="0" r="0" b="0"/>
            <wp:docPr id="1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3"/>
                    <a:srcRect/>
                    <a:stretch>
                      <a:fillRect/>
                    </a:stretch>
                  </pic:blipFill>
                  <pic:spPr>
                    <a:xfrm>
                      <a:off x="0" y="0"/>
                      <a:ext cx="4438650" cy="2362200"/>
                    </a:xfrm>
                    <a:prstGeom prst="rect">
                      <a:avLst/>
                    </a:prstGeom>
                    <a:ln/>
                  </pic:spPr>
                </pic:pic>
              </a:graphicData>
            </a:graphic>
          </wp:inline>
        </w:drawing>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right="13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Figure 3.4.2. The results of answer to </w:t>
      </w:r>
      <w:r>
        <w:rPr>
          <w:rFonts w:ascii="Times New Roman" w:eastAsia="Times New Roman" w:hAnsi="Times New Roman" w:cs="Times New Roman"/>
          <w:sz w:val="28"/>
          <w:szCs w:val="28"/>
        </w:rPr>
        <w:t xml:space="preserve">question </w:t>
      </w:r>
      <w:r>
        <w:rPr>
          <w:rFonts w:ascii="Times New Roman" w:eastAsia="Times New Roman" w:hAnsi="Times New Roman" w:cs="Times New Roman"/>
          <w:sz w:val="28"/>
          <w:szCs w:val="28"/>
          <w:highlight w:val="white"/>
        </w:rPr>
        <w:t>“How often do you feel internal tension?”</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The next question was: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“Do you have a feeling of constantly doing something, moving, and most importantly, not sitting still?”</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To this question,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37 (49.3%) of nurses answered “To some extent”,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25 (33.3%) – answered “Often”,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11 (14.7%) – chose the option “Does not arise”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 (2.7%) – the option “Very often” (Fig. 3.4.3).</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drawing>
          <wp:inline distT="0" distB="0" distL="0" distR="0">
            <wp:extent cx="4438650" cy="2228850"/>
            <wp:effectExtent l="0" t="0" r="0" b="0"/>
            <wp:docPr id="14"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4"/>
                    <a:srcRect/>
                    <a:stretch>
                      <a:fillRect/>
                    </a:stretch>
                  </pic:blipFill>
                  <pic:spPr>
                    <a:xfrm>
                      <a:off x="0" y="0"/>
                      <a:ext cx="4438650" cy="2228850"/>
                    </a:xfrm>
                    <a:prstGeom prst="rect">
                      <a:avLst/>
                    </a:prstGeom>
                    <a:ln/>
                  </pic:spPr>
                </pic:pic>
              </a:graphicData>
            </a:graphic>
          </wp:inline>
        </w:drawing>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right="13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Figure 3.4.3. The results of answer to </w:t>
      </w:r>
      <w:r>
        <w:rPr>
          <w:rFonts w:ascii="Times New Roman" w:eastAsia="Times New Roman" w:hAnsi="Times New Roman" w:cs="Times New Roman"/>
          <w:sz w:val="28"/>
          <w:szCs w:val="28"/>
        </w:rPr>
        <w:t xml:space="preserve">question </w:t>
      </w:r>
      <w:r>
        <w:rPr>
          <w:rFonts w:ascii="Times New Roman" w:eastAsia="Times New Roman" w:hAnsi="Times New Roman" w:cs="Times New Roman"/>
          <w:sz w:val="28"/>
          <w:szCs w:val="28"/>
          <w:highlight w:val="white"/>
        </w:rPr>
        <w:t>“Do you have a feeling of constantly doing something, moving, and most importantly, not sitting still?”</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To the question “Is it difficult for you to relax after a work shift?”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40 (53.3%) answered “Sometimes it’s hard”,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14 – (18,7%) – “No, I relax easily”,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11 (14.7%)  of nurses answered “Quite often”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10 (13.3%) of respondents chose the option “I can never completely relax” (Fig. 3.4.4).</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drawing>
          <wp:inline distT="0" distB="0" distL="0" distR="0">
            <wp:extent cx="4610100" cy="1588620"/>
            <wp:effectExtent l="0" t="0" r="0" b="0"/>
            <wp:docPr id="1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5"/>
                    <a:srcRect t="11352" b="19076"/>
                    <a:stretch>
                      <a:fillRect/>
                    </a:stretch>
                  </pic:blipFill>
                  <pic:spPr>
                    <a:xfrm>
                      <a:off x="0" y="0"/>
                      <a:ext cx="4610100" cy="1588620"/>
                    </a:xfrm>
                    <a:prstGeom prst="rect">
                      <a:avLst/>
                    </a:prstGeom>
                    <a:ln/>
                  </pic:spPr>
                </pic:pic>
              </a:graphicData>
            </a:graphic>
          </wp:inline>
        </w:drawing>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right="13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Figure 3.4.4. The results of answer to </w:t>
      </w:r>
      <w:r>
        <w:rPr>
          <w:rFonts w:ascii="Times New Roman" w:eastAsia="Times New Roman" w:hAnsi="Times New Roman" w:cs="Times New Roman"/>
          <w:sz w:val="28"/>
          <w:szCs w:val="28"/>
        </w:rPr>
        <w:t xml:space="preserve">question </w:t>
      </w:r>
      <w:r>
        <w:rPr>
          <w:rFonts w:ascii="Times New Roman" w:eastAsia="Times New Roman" w:hAnsi="Times New Roman" w:cs="Times New Roman"/>
          <w:sz w:val="28"/>
          <w:szCs w:val="28"/>
          <w:highlight w:val="white"/>
        </w:rPr>
        <w:t>“Is it difficult for you to relax after a work shift?”</w:t>
      </w:r>
    </w:p>
    <w:p w:rsidR="00AE0763" w:rsidRDefault="00AE076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39"/>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The next question was: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“Have you ever had a sudden feeling of panic?”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To this question,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39 (52.0%) of nurses answered that there were several cases,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26 (34.7%) “Never”,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9 (12.0%) – “Quite often” </w:t>
      </w:r>
    </w:p>
    <w:p w:rsidR="00AE0763" w:rsidRDefault="00912C9B">
      <w:pPr>
        <w:tabs>
          <w:tab w:val="left" w:pos="426"/>
          <w:tab w:val="left" w:pos="5530"/>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 – “Very often” (Fig. 3.4.5).</w:t>
      </w:r>
      <w:r>
        <w:rPr>
          <w:rFonts w:ascii="Times New Roman" w:eastAsia="Times New Roman" w:hAnsi="Times New Roman" w:cs="Times New Roman"/>
          <w:sz w:val="28"/>
          <w:szCs w:val="28"/>
          <w:highlight w:val="white"/>
        </w:rPr>
        <w:tab/>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drawing>
          <wp:inline distT="0" distB="0" distL="0" distR="0">
            <wp:extent cx="4572000" cy="2222467"/>
            <wp:effectExtent l="0" t="0" r="0" b="0"/>
            <wp:docPr id="1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6"/>
                    <a:srcRect t="5150"/>
                    <a:stretch>
                      <a:fillRect/>
                    </a:stretch>
                  </pic:blipFill>
                  <pic:spPr>
                    <a:xfrm>
                      <a:off x="0" y="0"/>
                      <a:ext cx="4572000" cy="2222467"/>
                    </a:xfrm>
                    <a:prstGeom prst="rect">
                      <a:avLst/>
                    </a:prstGeom>
                    <a:ln/>
                  </pic:spPr>
                </pic:pic>
              </a:graphicData>
            </a:graphic>
          </wp:inline>
        </w:drawing>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right="13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Figure 3.4.5. The results of answer to </w:t>
      </w:r>
      <w:r>
        <w:rPr>
          <w:rFonts w:ascii="Times New Roman" w:eastAsia="Times New Roman" w:hAnsi="Times New Roman" w:cs="Times New Roman"/>
          <w:sz w:val="28"/>
          <w:szCs w:val="28"/>
        </w:rPr>
        <w:t>question</w:t>
      </w:r>
      <w:r>
        <w:rPr>
          <w:rFonts w:ascii="Times New Roman" w:eastAsia="Times New Roman" w:hAnsi="Times New Roman" w:cs="Times New Roman"/>
          <w:sz w:val="28"/>
          <w:szCs w:val="28"/>
          <w:highlight w:val="white"/>
        </w:rPr>
        <w:t xml:space="preserve"> «Have you ever had a sudden feeling of panic?”</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br/>
        <w:t>The next question was: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“Do you have intrusive, unpleasant thoughts?”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To this question,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39 (52,0%) of respondents answered “Sometimes”,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32 (42,7) % – chose the option “From time to time”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 – (2,6%) – chose the options “Most of the time”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 – (2,6%) – chose the options “Constantly” (Fig. 3.4.6).</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drawing>
          <wp:inline distT="0" distB="0" distL="0" distR="0">
            <wp:extent cx="4495800" cy="2266950"/>
            <wp:effectExtent l="0" t="0" r="0" b="0"/>
            <wp:docPr id="1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7"/>
                    <a:srcRect/>
                    <a:stretch>
                      <a:fillRect/>
                    </a:stretch>
                  </pic:blipFill>
                  <pic:spPr>
                    <a:xfrm>
                      <a:off x="0" y="0"/>
                      <a:ext cx="4495800" cy="2266950"/>
                    </a:xfrm>
                    <a:prstGeom prst="rect">
                      <a:avLst/>
                    </a:prstGeom>
                    <a:ln/>
                  </pic:spPr>
                </pic:pic>
              </a:graphicData>
            </a:graphic>
          </wp:inline>
        </w:drawing>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right="13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Figure 3.4.6. The results of answer to </w:t>
      </w:r>
      <w:r>
        <w:rPr>
          <w:rFonts w:ascii="Times New Roman" w:eastAsia="Times New Roman" w:hAnsi="Times New Roman" w:cs="Times New Roman"/>
          <w:sz w:val="28"/>
          <w:szCs w:val="28"/>
        </w:rPr>
        <w:t>question</w:t>
      </w:r>
      <w:r>
        <w:rPr>
          <w:rFonts w:ascii="Times New Roman" w:eastAsia="Times New Roman" w:hAnsi="Times New Roman" w:cs="Times New Roman"/>
          <w:sz w:val="28"/>
          <w:szCs w:val="28"/>
          <w:highlight w:val="white"/>
        </w:rPr>
        <w:t xml:space="preserve"> «Have you ever had a sudden feeling of panic?”</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The next question was: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“Do you feel emotional tension at certain times?”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To this question,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32 (42,7%) of respondents answered “Sometimes”,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26 (34,7%) chose the option “Often”,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14 (18,7%) answered “Constantly”,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 (4,0% ) of nurses chose the option “I don’t feel it at all” (Fig. 3.4.7).</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lastRenderedPageBreak/>
        <w:drawing>
          <wp:inline distT="0" distB="0" distL="0" distR="0">
            <wp:extent cx="4381500" cy="2228850"/>
            <wp:effectExtent l="0" t="0" r="0" b="0"/>
            <wp:docPr id="16"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18"/>
                    <a:srcRect/>
                    <a:stretch>
                      <a:fillRect/>
                    </a:stretch>
                  </pic:blipFill>
                  <pic:spPr>
                    <a:xfrm>
                      <a:off x="0" y="0"/>
                      <a:ext cx="4381500" cy="2228850"/>
                    </a:xfrm>
                    <a:prstGeom prst="rect">
                      <a:avLst/>
                    </a:prstGeom>
                    <a:ln/>
                  </pic:spPr>
                </pic:pic>
              </a:graphicData>
            </a:graphic>
          </wp:inline>
        </w:drawing>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right="13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Figure 3.4.7. The results of answer to </w:t>
      </w:r>
      <w:r>
        <w:rPr>
          <w:rFonts w:ascii="Times New Roman" w:eastAsia="Times New Roman" w:hAnsi="Times New Roman" w:cs="Times New Roman"/>
          <w:sz w:val="28"/>
          <w:szCs w:val="28"/>
        </w:rPr>
        <w:t>question</w:t>
      </w:r>
      <w:r>
        <w:rPr>
          <w:rFonts w:ascii="Times New Roman" w:eastAsia="Times New Roman" w:hAnsi="Times New Roman" w:cs="Times New Roman"/>
          <w:sz w:val="28"/>
          <w:szCs w:val="28"/>
          <w:highlight w:val="white"/>
        </w:rPr>
        <w:t xml:space="preserve"> “Do you feel emotional tension at certain times?”</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To the question “Do you feel a sense of unreasonable anxiety?”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38 (50,7%) answered “Sometimes”,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26 (34,7%) chose the option “Never”,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8 (10,7%) answered “Often”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 (4,0% ) answered “Constantly” (Fig. 3.4.8).</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drawing>
          <wp:inline distT="0" distB="0" distL="0" distR="0">
            <wp:extent cx="4514850" cy="2362200"/>
            <wp:effectExtent l="0" t="0" r="0" b="0"/>
            <wp:docPr id="18"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9"/>
                    <a:srcRect/>
                    <a:stretch>
                      <a:fillRect/>
                    </a:stretch>
                  </pic:blipFill>
                  <pic:spPr>
                    <a:xfrm>
                      <a:off x="0" y="0"/>
                      <a:ext cx="4514850" cy="2362200"/>
                    </a:xfrm>
                    <a:prstGeom prst="rect">
                      <a:avLst/>
                    </a:prstGeom>
                    <a:ln/>
                  </pic:spPr>
                </pic:pic>
              </a:graphicData>
            </a:graphic>
          </wp:inline>
        </w:drawing>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right="13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Figure 3.4.8. The results of answer to </w:t>
      </w:r>
      <w:r>
        <w:rPr>
          <w:rFonts w:ascii="Times New Roman" w:eastAsia="Times New Roman" w:hAnsi="Times New Roman" w:cs="Times New Roman"/>
          <w:sz w:val="28"/>
          <w:szCs w:val="28"/>
        </w:rPr>
        <w:t>question</w:t>
      </w:r>
      <w:r>
        <w:rPr>
          <w:rFonts w:ascii="Times New Roman" w:eastAsia="Times New Roman" w:hAnsi="Times New Roman" w:cs="Times New Roman"/>
          <w:sz w:val="28"/>
          <w:szCs w:val="28"/>
          <w:highlight w:val="white"/>
        </w:rPr>
        <w:t xml:space="preserve"> “Do you feel a sense of unreasonable anxiety?”</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So, according to the survey results, we can see the number and proportion of nurses who, according to the number of points scored, have subclinical or clinically pronounced anxiety.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To determine the manifestations of stress in junior medical staff, namely depression, we asked a number of questions: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To the question “Do you feel cheerful, energetic, and able to perform everyday tasks?”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47 (62.7%) answered that recently they have been less,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24 (32.0%) said that they feel cheerful,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3 (4.0%) said “Very rarely”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(1.3%) answered “No” (Fig. 3.4.9).</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drawing>
          <wp:inline distT="0" distB="0" distL="0" distR="0">
            <wp:extent cx="4457700" cy="2324100"/>
            <wp:effectExtent l="0" t="0" r="0" b="0"/>
            <wp:docPr id="19"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0"/>
                    <a:srcRect/>
                    <a:stretch>
                      <a:fillRect/>
                    </a:stretch>
                  </pic:blipFill>
                  <pic:spPr>
                    <a:xfrm>
                      <a:off x="0" y="0"/>
                      <a:ext cx="4457700" cy="2324100"/>
                    </a:xfrm>
                    <a:prstGeom prst="rect">
                      <a:avLst/>
                    </a:prstGeom>
                    <a:ln/>
                  </pic:spPr>
                </pic:pic>
              </a:graphicData>
            </a:graphic>
          </wp:inline>
        </w:drawing>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right="13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Figure 3.4.9. The results of answer to </w:t>
      </w:r>
      <w:r>
        <w:rPr>
          <w:rFonts w:ascii="Times New Roman" w:eastAsia="Times New Roman" w:hAnsi="Times New Roman" w:cs="Times New Roman"/>
          <w:sz w:val="28"/>
          <w:szCs w:val="28"/>
        </w:rPr>
        <w:t>question</w:t>
      </w:r>
      <w:r>
        <w:rPr>
          <w:rFonts w:ascii="Times New Roman" w:eastAsia="Times New Roman" w:hAnsi="Times New Roman" w:cs="Times New Roman"/>
          <w:sz w:val="28"/>
          <w:szCs w:val="28"/>
          <w:highlight w:val="white"/>
        </w:rPr>
        <w:t xml:space="preserve"> “Do you feel cheerful, energetic, and able to perform everyday tasks?”</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The next question was: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“Do the things that used to bring you joy now bring you pleasure?”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To this question,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36 (48.0%) of the respondents answered “Not to the same extent as before”,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27 (36.0%) chose the option “Yes”,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9 (12.0%) chose the option “Much less than usual”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 (4.0%) answered “No” (Fig. 3.4.10).</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lastRenderedPageBreak/>
        <w:drawing>
          <wp:inline distT="0" distB="0" distL="0" distR="0">
            <wp:extent cx="4819650" cy="2647950"/>
            <wp:effectExtent l="0" t="0" r="0" b="0"/>
            <wp:docPr id="20"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1"/>
                    <a:srcRect/>
                    <a:stretch>
                      <a:fillRect/>
                    </a:stretch>
                  </pic:blipFill>
                  <pic:spPr>
                    <a:xfrm>
                      <a:off x="0" y="0"/>
                      <a:ext cx="4819650" cy="2647950"/>
                    </a:xfrm>
                    <a:prstGeom prst="rect">
                      <a:avLst/>
                    </a:prstGeom>
                    <a:ln/>
                  </pic:spPr>
                </pic:pic>
              </a:graphicData>
            </a:graphic>
          </wp:inline>
        </w:drawing>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right="13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Figure 3.4.10. The results of answer to </w:t>
      </w:r>
      <w:r>
        <w:rPr>
          <w:rFonts w:ascii="Times New Roman" w:eastAsia="Times New Roman" w:hAnsi="Times New Roman" w:cs="Times New Roman"/>
          <w:sz w:val="28"/>
          <w:szCs w:val="28"/>
        </w:rPr>
        <w:t>question</w:t>
      </w:r>
      <w:r>
        <w:rPr>
          <w:rFonts w:ascii="Times New Roman" w:eastAsia="Times New Roman" w:hAnsi="Times New Roman" w:cs="Times New Roman"/>
          <w:sz w:val="28"/>
          <w:szCs w:val="28"/>
          <w:highlight w:val="white"/>
        </w:rPr>
        <w:t xml:space="preserve"> “Do the things that used to bring you joy now bring you pleasure?”</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The next question was: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“How often have you felt depressed, sad, had a feeling of helplessness?”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To this question,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32 (42.7%) of nurses answered “Rarely”,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31 (41.3%) chose the option “Sometimes”,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9 (12.0%) chose the option “Often”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3 (4.0%) of nurses answered “Very often” (Fig. 3.4.11).</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drawing>
          <wp:inline distT="0" distB="0" distL="0" distR="0">
            <wp:extent cx="4438650" cy="2419350"/>
            <wp:effectExtent l="0" t="0" r="0" b="0"/>
            <wp:docPr id="2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2"/>
                    <a:srcRect/>
                    <a:stretch>
                      <a:fillRect/>
                    </a:stretch>
                  </pic:blipFill>
                  <pic:spPr>
                    <a:xfrm>
                      <a:off x="0" y="0"/>
                      <a:ext cx="4438650" cy="2419350"/>
                    </a:xfrm>
                    <a:prstGeom prst="rect">
                      <a:avLst/>
                    </a:prstGeom>
                    <a:ln/>
                  </pic:spPr>
                </pic:pic>
              </a:graphicData>
            </a:graphic>
          </wp:inline>
        </w:drawing>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right="13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Figure 3.4.11. The results of answer to </w:t>
      </w:r>
      <w:r>
        <w:rPr>
          <w:rFonts w:ascii="Times New Roman" w:eastAsia="Times New Roman" w:hAnsi="Times New Roman" w:cs="Times New Roman"/>
          <w:sz w:val="28"/>
          <w:szCs w:val="28"/>
        </w:rPr>
        <w:t>question</w:t>
      </w:r>
      <w:r>
        <w:rPr>
          <w:rFonts w:ascii="Times New Roman" w:eastAsia="Times New Roman" w:hAnsi="Times New Roman" w:cs="Times New Roman"/>
          <w:sz w:val="28"/>
          <w:szCs w:val="28"/>
          <w:highlight w:val="white"/>
        </w:rPr>
        <w:t xml:space="preserve"> “How often have you felt depressed, sad, a feeling of helplessness?”</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To the question “Does your hobby bring you pleasure after work?”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50 (66.6) of respondents answered “It brings”,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17 (22.7%) – chose the answer option “Sometimes”,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6 (8.0%) – the option “Rarely”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 (2.7%) – “Almost never” (Fig. 3.4.12).</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drawing>
          <wp:inline distT="0" distB="0" distL="0" distR="0">
            <wp:extent cx="4572000" cy="2324100"/>
            <wp:effectExtent l="0" t="0" r="0" b="0"/>
            <wp:docPr id="22"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3"/>
                    <a:srcRect/>
                    <a:stretch>
                      <a:fillRect/>
                    </a:stretch>
                  </pic:blipFill>
                  <pic:spPr>
                    <a:xfrm>
                      <a:off x="0" y="0"/>
                      <a:ext cx="4572000" cy="2324100"/>
                    </a:xfrm>
                    <a:prstGeom prst="rect">
                      <a:avLst/>
                    </a:prstGeom>
                    <a:ln/>
                  </pic:spPr>
                </pic:pic>
              </a:graphicData>
            </a:graphic>
          </wp:inline>
        </w:drawing>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right="13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Figure 3.4.12. The results of answer to </w:t>
      </w:r>
      <w:r>
        <w:rPr>
          <w:rFonts w:ascii="Times New Roman" w:eastAsia="Times New Roman" w:hAnsi="Times New Roman" w:cs="Times New Roman"/>
          <w:sz w:val="28"/>
          <w:szCs w:val="28"/>
        </w:rPr>
        <w:t>question</w:t>
      </w:r>
      <w:r>
        <w:rPr>
          <w:rFonts w:ascii="Times New Roman" w:eastAsia="Times New Roman" w:hAnsi="Times New Roman" w:cs="Times New Roman"/>
          <w:sz w:val="28"/>
          <w:szCs w:val="28"/>
          <w:highlight w:val="white"/>
        </w:rPr>
        <w:t xml:space="preserve"> “Does your hobby bring you pleasure after work?”</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The next question was: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“Do you get pleasure from a good book, movie, music?”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51 (68.0%) of the surveyed nurses answered “Often”,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16 (21.3%) – gave the answer “Sometimes”,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6 (8.0%)  – chose the option “Rarely”,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 (2.7%)  – answered “Very rarely” (Fig. 3.4.13).</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drawing>
          <wp:inline distT="0" distB="0" distL="0" distR="0">
            <wp:extent cx="4533900" cy="2400300"/>
            <wp:effectExtent l="0" t="0" r="0" b="0"/>
            <wp:docPr id="23"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4"/>
                    <a:srcRect/>
                    <a:stretch>
                      <a:fillRect/>
                    </a:stretch>
                  </pic:blipFill>
                  <pic:spPr>
                    <a:xfrm>
                      <a:off x="0" y="0"/>
                      <a:ext cx="4533900" cy="2400300"/>
                    </a:xfrm>
                    <a:prstGeom prst="rect">
                      <a:avLst/>
                    </a:prstGeom>
                    <a:ln/>
                  </pic:spPr>
                </pic:pic>
              </a:graphicData>
            </a:graphic>
          </wp:inline>
        </w:drawing>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right="13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Figure 3.4.13. The results of answer to </w:t>
      </w:r>
      <w:r>
        <w:rPr>
          <w:rFonts w:ascii="Times New Roman" w:eastAsia="Times New Roman" w:hAnsi="Times New Roman" w:cs="Times New Roman"/>
          <w:sz w:val="28"/>
          <w:szCs w:val="28"/>
        </w:rPr>
        <w:t>question</w:t>
      </w:r>
      <w:r>
        <w:rPr>
          <w:rFonts w:ascii="Times New Roman" w:eastAsia="Times New Roman" w:hAnsi="Times New Roman" w:cs="Times New Roman"/>
          <w:sz w:val="28"/>
          <w:szCs w:val="28"/>
          <w:highlight w:val="white"/>
        </w:rPr>
        <w:t xml:space="preserve"> “Do you get pleasure from a good book, movie, music?”</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 To the question “Have you noticed a deterioration in your concentration?”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49 (65.3%) of respondents answered “Sometimes”,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17 (22.7%)  – answered “Never”,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6 (8.0%)  – chose the option “Often”</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 (4.0%)  – “Almost every day” (Fig. 3.4.14).</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drawing>
          <wp:inline distT="0" distB="0" distL="0" distR="0">
            <wp:extent cx="4438650" cy="2400300"/>
            <wp:effectExtent l="0" t="0" r="0" b="0"/>
            <wp:docPr id="24"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5"/>
                    <a:srcRect/>
                    <a:stretch>
                      <a:fillRect/>
                    </a:stretch>
                  </pic:blipFill>
                  <pic:spPr>
                    <a:xfrm>
                      <a:off x="0" y="0"/>
                      <a:ext cx="4438650" cy="2400300"/>
                    </a:xfrm>
                    <a:prstGeom prst="rect">
                      <a:avLst/>
                    </a:prstGeom>
                    <a:ln/>
                  </pic:spPr>
                </pic:pic>
              </a:graphicData>
            </a:graphic>
          </wp:inline>
        </w:drawing>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right="13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Figure 3.4.14. The results of answer to </w:t>
      </w:r>
      <w:r>
        <w:rPr>
          <w:rFonts w:ascii="Times New Roman" w:eastAsia="Times New Roman" w:hAnsi="Times New Roman" w:cs="Times New Roman"/>
          <w:sz w:val="28"/>
          <w:szCs w:val="28"/>
        </w:rPr>
        <w:t>question</w:t>
      </w:r>
      <w:r>
        <w:rPr>
          <w:rFonts w:ascii="Times New Roman" w:eastAsia="Times New Roman" w:hAnsi="Times New Roman" w:cs="Times New Roman"/>
          <w:sz w:val="28"/>
          <w:szCs w:val="28"/>
          <w:highlight w:val="white"/>
        </w:rPr>
        <w:t xml:space="preserve"> “Have you noticed a deterioration in your concentration?”</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The next question was: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“Do you have problems with sleep?”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38 (50.7%) was chosen by the option “Sometimes”,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17 (22.7%)  - the option “No”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16 (21.3%)  – “Often”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4 (5.3%) – “Almost every day” (Fig. 3.4.15).</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lastRenderedPageBreak/>
        <w:drawing>
          <wp:inline distT="0" distB="0" distL="0" distR="0">
            <wp:extent cx="4438650" cy="2400300"/>
            <wp:effectExtent l="0" t="0" r="0" b="0"/>
            <wp:docPr id="25"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6"/>
                    <a:srcRect/>
                    <a:stretch>
                      <a:fillRect/>
                    </a:stretch>
                  </pic:blipFill>
                  <pic:spPr>
                    <a:xfrm>
                      <a:off x="0" y="0"/>
                      <a:ext cx="4438650" cy="2400300"/>
                    </a:xfrm>
                    <a:prstGeom prst="rect">
                      <a:avLst/>
                    </a:prstGeom>
                    <a:ln/>
                  </pic:spPr>
                </pic:pic>
              </a:graphicData>
            </a:graphic>
          </wp:inline>
        </w:drawing>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right="13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Figure 3.4.15. The results of answer to </w:t>
      </w:r>
      <w:r>
        <w:rPr>
          <w:rFonts w:ascii="Times New Roman" w:eastAsia="Times New Roman" w:hAnsi="Times New Roman" w:cs="Times New Roman"/>
          <w:sz w:val="28"/>
          <w:szCs w:val="28"/>
        </w:rPr>
        <w:t>question</w:t>
      </w:r>
      <w:r>
        <w:rPr>
          <w:rFonts w:ascii="Times New Roman" w:eastAsia="Times New Roman" w:hAnsi="Times New Roman" w:cs="Times New Roman"/>
          <w:sz w:val="28"/>
          <w:szCs w:val="28"/>
          <w:highlight w:val="white"/>
        </w:rPr>
        <w:t xml:space="preserve"> “Do you have problems with sleep?”</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To the question “Do you feel exhausted, tired during work and after a shift?” the following answers were given:</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26 (34.7%) – “No”,</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26 (34.7%) – “For several days”,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17 (22.7%)   – “Most of the time”,</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6 (8.0%) – “Almost every day” (Fig. 3.4.16).</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drawing>
          <wp:inline distT="0" distB="0" distL="0" distR="0">
            <wp:extent cx="4438650" cy="2400300"/>
            <wp:effectExtent l="0" t="0" r="0" b="0"/>
            <wp:docPr id="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7"/>
                    <a:srcRect/>
                    <a:stretch>
                      <a:fillRect/>
                    </a:stretch>
                  </pic:blipFill>
                  <pic:spPr>
                    <a:xfrm>
                      <a:off x="0" y="0"/>
                      <a:ext cx="4438650" cy="2400300"/>
                    </a:xfrm>
                    <a:prstGeom prst="rect">
                      <a:avLst/>
                    </a:prstGeom>
                    <a:ln/>
                  </pic:spPr>
                </pic:pic>
              </a:graphicData>
            </a:graphic>
          </wp:inline>
        </w:drawing>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right="13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Figure 3.4.16. The results of answer to </w:t>
      </w:r>
      <w:r>
        <w:rPr>
          <w:rFonts w:ascii="Times New Roman" w:eastAsia="Times New Roman" w:hAnsi="Times New Roman" w:cs="Times New Roman"/>
          <w:sz w:val="28"/>
          <w:szCs w:val="28"/>
        </w:rPr>
        <w:t>question</w:t>
      </w:r>
      <w:r>
        <w:rPr>
          <w:rFonts w:ascii="Times New Roman" w:eastAsia="Times New Roman" w:hAnsi="Times New Roman" w:cs="Times New Roman"/>
          <w:sz w:val="28"/>
          <w:szCs w:val="28"/>
          <w:highlight w:val="white"/>
        </w:rPr>
        <w:t xml:space="preserve"> “Do you feel exhausted, tired during work and after a shift?”</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The next question was: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“Have you ever had problems with your appetite, overeating or lack of appetite?”</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36 (48.0%) responded that sometimes there are problems,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26 (34.7%)  – claimed that there are no problems,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9 (12.0%)  – sometimes have a reduced appetite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 (5.3%) – have problems constantly  (Fig. 3.4.17).</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drawing>
          <wp:inline distT="0" distB="0" distL="0" distR="0">
            <wp:extent cx="4457700" cy="2457450"/>
            <wp:effectExtent l="0" t="0" r="0" b="0"/>
            <wp:docPr id="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8"/>
                    <a:srcRect/>
                    <a:stretch>
                      <a:fillRect/>
                    </a:stretch>
                  </pic:blipFill>
                  <pic:spPr>
                    <a:xfrm>
                      <a:off x="0" y="0"/>
                      <a:ext cx="4457700" cy="2457450"/>
                    </a:xfrm>
                    <a:prstGeom prst="rect">
                      <a:avLst/>
                    </a:prstGeom>
                    <a:ln/>
                  </pic:spPr>
                </pic:pic>
              </a:graphicData>
            </a:graphic>
          </wp:inline>
        </w:drawing>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right="13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Figure 3.4.17. The results of answer to </w:t>
      </w:r>
      <w:r>
        <w:rPr>
          <w:rFonts w:ascii="Times New Roman" w:eastAsia="Times New Roman" w:hAnsi="Times New Roman" w:cs="Times New Roman"/>
          <w:sz w:val="28"/>
          <w:szCs w:val="28"/>
        </w:rPr>
        <w:t>question</w:t>
      </w:r>
      <w:r>
        <w:rPr>
          <w:rFonts w:ascii="Times New Roman" w:eastAsia="Times New Roman" w:hAnsi="Times New Roman" w:cs="Times New Roman"/>
          <w:sz w:val="28"/>
          <w:szCs w:val="28"/>
          <w:highlight w:val="white"/>
        </w:rPr>
        <w:t xml:space="preserve"> “Have you ever had problems with your appetite, overeating or lack of appetite?”</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The next question was:</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“Do you monitor your appearance?”</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51 (68.0%) of nurses responded that they monitor their appearance as before,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20 (26.7%) monitor their appearance to some extent less,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4 (5.3%) devote almost no time to it;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the option of not monitoring at all was not selected (Fig. 3.4.18).</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lastRenderedPageBreak/>
        <w:drawing>
          <wp:inline distT="0" distB="0" distL="0" distR="0">
            <wp:extent cx="4610100" cy="3086100"/>
            <wp:effectExtent l="0" t="0" r="0" b="0"/>
            <wp:docPr id="3"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9"/>
                    <a:srcRect/>
                    <a:stretch>
                      <a:fillRect/>
                    </a:stretch>
                  </pic:blipFill>
                  <pic:spPr>
                    <a:xfrm>
                      <a:off x="0" y="0"/>
                      <a:ext cx="4610100" cy="3086100"/>
                    </a:xfrm>
                    <a:prstGeom prst="rect">
                      <a:avLst/>
                    </a:prstGeom>
                    <a:ln/>
                  </pic:spPr>
                </pic:pic>
              </a:graphicData>
            </a:graphic>
          </wp:inline>
        </w:drawing>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right="13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Figure 3.4.18. The results of answer to </w:t>
      </w:r>
      <w:r>
        <w:rPr>
          <w:rFonts w:ascii="Times New Roman" w:eastAsia="Times New Roman" w:hAnsi="Times New Roman" w:cs="Times New Roman"/>
          <w:sz w:val="28"/>
          <w:szCs w:val="28"/>
        </w:rPr>
        <w:t>question</w:t>
      </w:r>
      <w:r>
        <w:rPr>
          <w:rFonts w:ascii="Times New Roman" w:eastAsia="Times New Roman" w:hAnsi="Times New Roman" w:cs="Times New Roman"/>
          <w:sz w:val="28"/>
          <w:szCs w:val="28"/>
          <w:highlight w:val="white"/>
        </w:rPr>
        <w:t xml:space="preserve"> “Do you monitor your appearance?”</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To the question “Do you feel that you have started working slower?”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38 (50.7%) of nurses claim that they do not feel it,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29 (38.7%) – sometimes notice it,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7 (9.3%) – often notice it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(1.3%) – “Almost all the time” (Fig. 3.4.19).</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drawing>
          <wp:inline distT="0" distB="0" distL="0" distR="0">
            <wp:extent cx="4496289" cy="2590995"/>
            <wp:effectExtent l="0" t="0" r="0" b="0"/>
            <wp:docPr id="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0"/>
                    <a:srcRect/>
                    <a:stretch>
                      <a:fillRect/>
                    </a:stretch>
                  </pic:blipFill>
                  <pic:spPr>
                    <a:xfrm>
                      <a:off x="0" y="0"/>
                      <a:ext cx="4496289" cy="2590995"/>
                    </a:xfrm>
                    <a:prstGeom prst="rect">
                      <a:avLst/>
                    </a:prstGeom>
                    <a:ln/>
                  </pic:spPr>
                </pic:pic>
              </a:graphicData>
            </a:graphic>
          </wp:inline>
        </w:drawing>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right="13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Figure 3.4.19. The results of answer to </w:t>
      </w:r>
      <w:r>
        <w:rPr>
          <w:rFonts w:ascii="Times New Roman" w:eastAsia="Times New Roman" w:hAnsi="Times New Roman" w:cs="Times New Roman"/>
          <w:sz w:val="28"/>
          <w:szCs w:val="28"/>
        </w:rPr>
        <w:t>question</w:t>
      </w:r>
      <w:r>
        <w:rPr>
          <w:rFonts w:ascii="Times New Roman" w:eastAsia="Times New Roman" w:hAnsi="Times New Roman" w:cs="Times New Roman"/>
          <w:sz w:val="28"/>
          <w:szCs w:val="28"/>
          <w:highlight w:val="white"/>
        </w:rPr>
        <w:t xml:space="preserve"> “Do you feel that you have started working slower?”</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To the question “Is it difficult for you to relax after a work shift?”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38 (50.7%) answered “Sometimes it is difficult”,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19  (25.3%) – “No, I relax easily”,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12 (16.0%) of nurses answered “Quite often” </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6 (8.0%) of respondents chose the option “I can never completely relax” (Fig. 3.4.20).</w:t>
      </w: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drawing>
          <wp:inline distT="0" distB="0" distL="0" distR="0">
            <wp:extent cx="4533900" cy="2628900"/>
            <wp:effectExtent l="0" t="0" r="0" b="0"/>
            <wp:docPr id="5"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31"/>
                    <a:srcRect/>
                    <a:stretch>
                      <a:fillRect/>
                    </a:stretch>
                  </pic:blipFill>
                  <pic:spPr>
                    <a:xfrm>
                      <a:off x="0" y="0"/>
                      <a:ext cx="4533900" cy="2628900"/>
                    </a:xfrm>
                    <a:prstGeom prst="rect">
                      <a:avLst/>
                    </a:prstGeom>
                    <a:ln/>
                  </pic:spPr>
                </pic:pic>
              </a:graphicData>
            </a:graphic>
          </wp:inline>
        </w:drawing>
      </w:r>
    </w:p>
    <w:p w:rsidR="00AE0763" w:rsidRDefault="00912C9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right="13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Figure 3.4.20. The results of answer to </w:t>
      </w:r>
      <w:r>
        <w:rPr>
          <w:rFonts w:ascii="Times New Roman" w:eastAsia="Times New Roman" w:hAnsi="Times New Roman" w:cs="Times New Roman"/>
          <w:sz w:val="28"/>
          <w:szCs w:val="28"/>
        </w:rPr>
        <w:t>question</w:t>
      </w:r>
      <w:r>
        <w:rPr>
          <w:rFonts w:ascii="Times New Roman" w:eastAsia="Times New Roman" w:hAnsi="Times New Roman" w:cs="Times New Roman"/>
          <w:sz w:val="28"/>
          <w:szCs w:val="28"/>
          <w:highlight w:val="white"/>
        </w:rPr>
        <w:t xml:space="preserve"> “Do you not feel that you have started working slower?”</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So, according to the results of the questionnaire, we can see the number and proportion of nurses who, according to the number of points scored, have subclinical or clinically pronounced depression.</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tabs>
          <w:tab w:val="left" w:pos="426"/>
        </w:tabs>
        <w:spacing w:line="360" w:lineRule="auto"/>
        <w:ind w:left="426" w:right="139" w:firstLine="992"/>
        <w:jc w:val="both"/>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Conclusions to chapter III.</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numPr>
          <w:ilvl w:val="0"/>
          <w:numId w:val="2"/>
        </w:numPr>
        <w:pBdr>
          <w:top w:val="nil"/>
          <w:left w:val="nil"/>
          <w:bottom w:val="nil"/>
          <w:right w:val="nil"/>
          <w:between w:val="nil"/>
        </w:pBdr>
        <w:tabs>
          <w:tab w:val="left" w:pos="426"/>
        </w:tabs>
        <w:spacing w:line="360" w:lineRule="auto"/>
        <w:ind w:left="567" w:right="139" w:firstLine="1134"/>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Having studied the degree of depression in nurses based on the Beck questionnaire, </w:t>
      </w:r>
      <w:r>
        <w:rPr>
          <w:rFonts w:ascii="Times New Roman" w:eastAsia="Times New Roman" w:hAnsi="Times New Roman" w:cs="Times New Roman"/>
          <w:sz w:val="28"/>
          <w:szCs w:val="28"/>
        </w:rPr>
        <w:t>Hospital Anxiety and Depression Scale and Likert scale</w:t>
      </w:r>
      <w:r>
        <w:rPr>
          <w:rFonts w:ascii="Times New Roman" w:eastAsia="Times New Roman" w:hAnsi="Times New Roman" w:cs="Times New Roman"/>
          <w:sz w:val="28"/>
          <w:szCs w:val="28"/>
          <w:highlight w:val="white"/>
        </w:rPr>
        <w:t xml:space="preserve"> it is possible to recommend using scientifically based methods of pathological personality disorders correction and prevention. </w:t>
      </w:r>
    </w:p>
    <w:p w:rsidR="00AE0763" w:rsidRDefault="00912C9B">
      <w:pPr>
        <w:numPr>
          <w:ilvl w:val="0"/>
          <w:numId w:val="2"/>
        </w:numPr>
        <w:pBdr>
          <w:top w:val="nil"/>
          <w:left w:val="nil"/>
          <w:bottom w:val="nil"/>
          <w:right w:val="nil"/>
          <w:between w:val="nil"/>
        </w:pBdr>
        <w:tabs>
          <w:tab w:val="left" w:pos="426"/>
        </w:tabs>
        <w:spacing w:line="360" w:lineRule="auto"/>
        <w:ind w:left="567" w:right="139" w:firstLine="1134"/>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The obtained results can be used for optimal strategies, tactics and means of psychological, psychotherapeutic and medical influence, for the development of methods for the prevention of mental disorders and pathological personality behavioral disorders in nurses.</w:t>
      </w:r>
    </w:p>
    <w:p w:rsidR="00AE0763" w:rsidRDefault="00912C9B">
      <w:pPr>
        <w:numPr>
          <w:ilvl w:val="0"/>
          <w:numId w:val="2"/>
        </w:numPr>
        <w:pBdr>
          <w:top w:val="nil"/>
          <w:left w:val="nil"/>
          <w:bottom w:val="nil"/>
          <w:right w:val="nil"/>
          <w:between w:val="nil"/>
        </w:pBdr>
        <w:tabs>
          <w:tab w:val="left" w:pos="426"/>
        </w:tabs>
        <w:spacing w:line="360" w:lineRule="auto"/>
        <w:ind w:left="567" w:right="139" w:firstLine="1134"/>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The most common symptoms of depression were sleep and  appetite disorders, pain in the lower back and head, and anergy loss.</w:t>
      </w:r>
    </w:p>
    <w:p w:rsidR="00AE0763" w:rsidRDefault="00912C9B">
      <w:pPr>
        <w:numPr>
          <w:ilvl w:val="0"/>
          <w:numId w:val="2"/>
        </w:numPr>
        <w:pBdr>
          <w:top w:val="nil"/>
          <w:left w:val="nil"/>
          <w:bottom w:val="nil"/>
          <w:right w:val="nil"/>
          <w:between w:val="nil"/>
        </w:pBdr>
        <w:tabs>
          <w:tab w:val="left" w:pos="426"/>
        </w:tabs>
        <w:spacing w:line="360" w:lineRule="auto"/>
        <w:ind w:left="567" w:right="139" w:firstLine="1134"/>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Anxiety states are characterized by difficulty falling asleep, restless sleep, somatovegetative disorders combined with hypochondriacal ideas. Apathy is characterized by late awakenings and a feeling of relaxation throughout the body.</w:t>
      </w:r>
    </w:p>
    <w:p w:rsidR="00AE0763" w:rsidRDefault="00912C9B">
      <w:pPr>
        <w:numPr>
          <w:ilvl w:val="0"/>
          <w:numId w:val="2"/>
        </w:numPr>
        <w:pBdr>
          <w:top w:val="nil"/>
          <w:left w:val="nil"/>
          <w:bottom w:val="nil"/>
          <w:right w:val="nil"/>
          <w:between w:val="nil"/>
        </w:pBdr>
        <w:tabs>
          <w:tab w:val="left" w:pos="426"/>
        </w:tabs>
        <w:spacing w:line="360" w:lineRule="auto"/>
        <w:ind w:left="567" w:right="139" w:firstLine="1134"/>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The use of the obtained data can increase the recognition of depression, and psychiatrists can conduct treatment in order to reduce the frequency of depressive and anxiety disorders, lower suicidal risk, reduce economic losses and improve the quality of life of nurses and their families.</w:t>
      </w:r>
    </w:p>
    <w:p w:rsidR="00AE0763" w:rsidRDefault="00912C9B">
      <w:pPr>
        <w:ind w:left="426" w:right="139"/>
        <w:jc w:val="both"/>
        <w:rPr>
          <w:rFonts w:ascii="Times New Roman" w:eastAsia="Times New Roman" w:hAnsi="Times New Roman" w:cs="Times New Roman"/>
          <w:sz w:val="28"/>
          <w:szCs w:val="28"/>
          <w:highlight w:val="white"/>
        </w:rPr>
      </w:pPr>
      <w:r>
        <w:br w:type="page"/>
      </w:r>
    </w:p>
    <w:p w:rsidR="00AE0763" w:rsidRDefault="00912C9B">
      <w:pPr>
        <w:tabs>
          <w:tab w:val="left" w:pos="426"/>
        </w:tabs>
        <w:spacing w:line="360" w:lineRule="auto"/>
        <w:ind w:left="426" w:right="139" w:firstLine="992"/>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lastRenderedPageBreak/>
        <w:t>CONCLUSIONS</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numPr>
          <w:ilvl w:val="0"/>
          <w:numId w:val="3"/>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567"/>
        </w:tabs>
        <w:spacing w:line="360" w:lineRule="auto"/>
        <w:ind w:left="426" w:right="139"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work of nurses requires high ethical responsibility. Consideration of the patients` characteristics, their rights and dignity, as well as the fair distribution of resources, are the main components of a professional approach. Working with patients can put healthcare workers at risk of emotional burnout. Prevention of this syndrome includes psychological support, self-regulation skills and organizational measures to alleviate the workload. All these aspects are necessary for the development of effective management strategies and improvement of the quality of life of patients, as well as for increasing the efficiency of nursing care.</w:t>
      </w:r>
    </w:p>
    <w:p w:rsidR="00AE0763" w:rsidRDefault="00912C9B">
      <w:pPr>
        <w:numPr>
          <w:ilvl w:val="0"/>
          <w:numId w:val="3"/>
        </w:numPr>
        <w:pBdr>
          <w:top w:val="nil"/>
          <w:left w:val="nil"/>
          <w:bottom w:val="nil"/>
          <w:right w:val="nil"/>
          <w:between w:val="nil"/>
        </w:pBdr>
        <w:tabs>
          <w:tab w:val="left" w:pos="567"/>
        </w:tabs>
        <w:spacing w:line="360" w:lineRule="auto"/>
        <w:ind w:left="426"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Having studied the  depression degree in nurses based on the Beck questionnaire, </w:t>
      </w:r>
      <w:r>
        <w:rPr>
          <w:rFonts w:ascii="Times New Roman" w:eastAsia="Times New Roman" w:hAnsi="Times New Roman" w:cs="Times New Roman"/>
          <w:sz w:val="28"/>
          <w:szCs w:val="28"/>
        </w:rPr>
        <w:t>Hospital Anxiety and Depression Scale and Likert scale</w:t>
      </w:r>
      <w:r>
        <w:rPr>
          <w:rFonts w:ascii="Times New Roman" w:eastAsia="Times New Roman" w:hAnsi="Times New Roman" w:cs="Times New Roman"/>
          <w:sz w:val="28"/>
          <w:szCs w:val="28"/>
          <w:highlight w:val="white"/>
        </w:rPr>
        <w:t xml:space="preserve"> it is possible to recommend using scientifically based methods of pathological personality disorders correction and prevention. </w:t>
      </w:r>
    </w:p>
    <w:p w:rsidR="00AE0763" w:rsidRDefault="00912C9B">
      <w:pPr>
        <w:numPr>
          <w:ilvl w:val="0"/>
          <w:numId w:val="3"/>
        </w:numPr>
        <w:pBdr>
          <w:top w:val="nil"/>
          <w:left w:val="nil"/>
          <w:bottom w:val="nil"/>
          <w:right w:val="nil"/>
          <w:between w:val="nil"/>
        </w:pBdr>
        <w:tabs>
          <w:tab w:val="left" w:pos="567"/>
        </w:tabs>
        <w:spacing w:line="360" w:lineRule="auto"/>
        <w:ind w:left="567"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The obtained results can be used for optimal strategies, tactics and means of psychological, psychotherapeutic and medical influence, for the development of mental and pathological personality behavioral disorders prevention methods in nurses.</w:t>
      </w:r>
    </w:p>
    <w:p w:rsidR="00AE0763" w:rsidRDefault="00912C9B">
      <w:pPr>
        <w:numPr>
          <w:ilvl w:val="0"/>
          <w:numId w:val="3"/>
        </w:numPr>
        <w:pBdr>
          <w:top w:val="nil"/>
          <w:left w:val="nil"/>
          <w:bottom w:val="nil"/>
          <w:right w:val="nil"/>
          <w:between w:val="nil"/>
        </w:pBdr>
        <w:tabs>
          <w:tab w:val="left" w:pos="567"/>
        </w:tabs>
        <w:spacing w:line="360" w:lineRule="auto"/>
        <w:ind w:left="567"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The most common symptoms of depression were sleep and appetite disorders, pain in the lower back and head, and anergy loss.</w:t>
      </w:r>
    </w:p>
    <w:p w:rsidR="00AE0763" w:rsidRDefault="00912C9B">
      <w:pPr>
        <w:numPr>
          <w:ilvl w:val="0"/>
          <w:numId w:val="3"/>
        </w:numPr>
        <w:pBdr>
          <w:top w:val="nil"/>
          <w:left w:val="nil"/>
          <w:bottom w:val="nil"/>
          <w:right w:val="nil"/>
          <w:between w:val="nil"/>
        </w:pBdr>
        <w:tabs>
          <w:tab w:val="left" w:pos="567"/>
        </w:tabs>
        <w:spacing w:line="360" w:lineRule="auto"/>
        <w:ind w:left="567"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Anxiety states are characterized by difficulty falling asleep, restless sleep, somatovegetative disorders combined with hypochondriacal ideas. Apathy is characterized by late awakenings and a feeling of relaxation throughout the body.</w:t>
      </w:r>
    </w:p>
    <w:p w:rsidR="00AE0763" w:rsidRDefault="00912C9B">
      <w:pPr>
        <w:numPr>
          <w:ilvl w:val="0"/>
          <w:numId w:val="3"/>
        </w:numPr>
        <w:pBdr>
          <w:top w:val="nil"/>
          <w:left w:val="nil"/>
          <w:bottom w:val="nil"/>
          <w:right w:val="nil"/>
          <w:between w:val="nil"/>
        </w:pBdr>
        <w:tabs>
          <w:tab w:val="left" w:pos="567"/>
        </w:tabs>
        <w:spacing w:line="360" w:lineRule="auto"/>
        <w:ind w:left="567" w:right="139" w:firstLine="99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The use of the obtained data can increase the recognition of depression, and psychiatrists can conduct treatment in order to reduce the frequency of depressive and anxiety disorders, suicidal risk, reduce economic losses and improve the quality of life of nurses and their families.</w:t>
      </w:r>
    </w:p>
    <w:p w:rsidR="00AE0763" w:rsidRDefault="00912C9B">
      <w:pPr>
        <w:ind w:left="426" w:right="139"/>
        <w:jc w:val="both"/>
        <w:rPr>
          <w:rFonts w:ascii="Times New Roman" w:eastAsia="Times New Roman" w:hAnsi="Times New Roman" w:cs="Times New Roman"/>
          <w:sz w:val="28"/>
          <w:szCs w:val="28"/>
          <w:highlight w:val="white"/>
        </w:rPr>
      </w:pPr>
      <w:r>
        <w:br w:type="page"/>
      </w:r>
    </w:p>
    <w:p w:rsidR="00AE0763" w:rsidRDefault="00912C9B">
      <w:pPr>
        <w:tabs>
          <w:tab w:val="left" w:pos="426"/>
        </w:tabs>
        <w:spacing w:line="360" w:lineRule="auto"/>
        <w:ind w:left="426" w:right="139" w:firstLine="992"/>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lastRenderedPageBreak/>
        <w:t>PRACTICAL RECOMMENDATION</w:t>
      </w:r>
    </w:p>
    <w:p w:rsidR="00AE0763" w:rsidRDefault="00AE0763">
      <w:pPr>
        <w:tabs>
          <w:tab w:val="left" w:pos="426"/>
        </w:tabs>
        <w:spacing w:line="360" w:lineRule="auto"/>
        <w:ind w:left="426" w:right="139" w:firstLine="992"/>
        <w:jc w:val="both"/>
        <w:rPr>
          <w:rFonts w:ascii="Times New Roman" w:eastAsia="Times New Roman" w:hAnsi="Times New Roman" w:cs="Times New Roman"/>
          <w:sz w:val="28"/>
          <w:szCs w:val="28"/>
          <w:highlight w:val="white"/>
        </w:rPr>
      </w:pPr>
    </w:p>
    <w:p w:rsidR="00AE0763" w:rsidRDefault="00912C9B">
      <w:pPr>
        <w:spacing w:line="360" w:lineRule="auto"/>
        <w:ind w:left="426" w:right="139" w:firstLine="99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Methods for harmonizing the psychophysical state of medical workers</w:t>
      </w:r>
    </w:p>
    <w:p w:rsidR="00AE0763" w:rsidRDefault="00912C9B">
      <w:pPr>
        <w:spacing w:line="360" w:lineRule="auto"/>
        <w:ind w:left="426" w:right="139" w:firstLine="99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Harmonization of the psychophysical state prevents the development of professional burnout syndrome. Conventionally, all methods for harmonizing the psychophysical state of a person can be divided into types of influence on the physiological (impact on the body); emotional-volitional (impact on the emotional state) and value-semantic (impact on thoughts, worldview).</w:t>
      </w:r>
    </w:p>
    <w:p w:rsidR="00AE0763" w:rsidRDefault="00912C9B">
      <w:pPr>
        <w:spacing w:line="360" w:lineRule="auto"/>
        <w:ind w:left="426" w:right="139" w:firstLine="99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Physiological methods:</w:t>
      </w:r>
    </w:p>
    <w:p w:rsidR="00AE0763" w:rsidRDefault="00912C9B">
      <w:pPr>
        <w:spacing w:line="360" w:lineRule="auto"/>
        <w:ind w:left="426" w:right="139" w:firstLine="99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maintaining sleep quality - compliance with sleep regimen, airing the room before bedtime;</w:t>
      </w:r>
    </w:p>
    <w:p w:rsidR="00AE0763" w:rsidRDefault="00912C9B">
      <w:pPr>
        <w:spacing w:line="360" w:lineRule="auto"/>
        <w:ind w:left="426" w:right="139" w:firstLine="99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balanced diet (in particular, the use of sufficient amounts of magnesium, vitamin E);</w:t>
      </w:r>
    </w:p>
    <w:p w:rsidR="00AE0763" w:rsidRDefault="00912C9B">
      <w:pPr>
        <w:spacing w:line="360" w:lineRule="auto"/>
        <w:ind w:left="426" w:right="139" w:firstLine="99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sufficient physical activity - performing morning physical exercises, playing sports, dancing;</w:t>
      </w:r>
    </w:p>
    <w:p w:rsidR="00AE0763" w:rsidRDefault="00912C9B">
      <w:pPr>
        <w:spacing w:line="360" w:lineRule="auto"/>
        <w:ind w:left="426" w:right="139" w:firstLine="99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phytotherapy (in particular, calming mint drinks, tincture of valerian root, increases vitality tincture of eleutherococcus, ginseng, rhodiola rosea);</w:t>
      </w:r>
    </w:p>
    <w:p w:rsidR="00AE0763" w:rsidRDefault="00912C9B">
      <w:pPr>
        <w:spacing w:line="360" w:lineRule="auto"/>
        <w:ind w:left="426" w:right="139" w:firstLine="99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massage (classical, biologically active points); walking barefoot on the ground or on scattered pebbles;</w:t>
      </w:r>
    </w:p>
    <w:p w:rsidR="00AE0763" w:rsidRDefault="00912C9B">
      <w:pPr>
        <w:spacing w:line="360" w:lineRule="auto"/>
        <w:ind w:left="426" w:right="139" w:firstLine="99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color therapy (in particular, green, blue colors calm, red, yellow invigorate);</w:t>
      </w:r>
    </w:p>
    <w:p w:rsidR="00AE0763" w:rsidRDefault="00912C9B">
      <w:pPr>
        <w:spacing w:line="360" w:lineRule="auto"/>
        <w:ind w:left="426" w:right="139" w:firstLine="99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aromatherapy (excite the nervous system and invigorate the smells of orange, bergamot; soothe the smells of lavender, anise, sage);</w:t>
      </w:r>
    </w:p>
    <w:p w:rsidR="00AE0763" w:rsidRDefault="00912C9B">
      <w:pPr>
        <w:spacing w:line="360" w:lineRule="auto"/>
        <w:ind w:left="426" w:right="139" w:firstLine="99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mineral therapy;</w:t>
      </w:r>
    </w:p>
    <w:p w:rsidR="00AE0763" w:rsidRDefault="00912C9B">
      <w:pPr>
        <w:spacing w:line="360" w:lineRule="auto"/>
        <w:ind w:left="426" w:right="139" w:firstLine="99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breathing exercises (in particular, calms breathing with a prolonged exhalation; mobilizes breathing with an increased inhalation);</w:t>
      </w:r>
    </w:p>
    <w:p w:rsidR="00AE0763" w:rsidRDefault="00912C9B">
      <w:pPr>
        <w:spacing w:line="360" w:lineRule="auto"/>
        <w:ind w:left="426" w:right="139" w:firstLine="99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water procedures (in particular, a contrast shower relieves fatigue), etc.</w:t>
      </w:r>
    </w:p>
    <w:p w:rsidR="00AE0763" w:rsidRDefault="00912C9B">
      <w:pPr>
        <w:spacing w:line="360" w:lineRule="auto"/>
        <w:ind w:left="426" w:right="139" w:firstLine="99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Emotional-volitional methods:</w:t>
      </w:r>
    </w:p>
    <w:p w:rsidR="00AE0763" w:rsidRDefault="00912C9B">
      <w:pPr>
        <w:spacing w:line="360" w:lineRule="auto"/>
        <w:ind w:left="426" w:right="139" w:firstLine="99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laughter (positively affects the immune system, activating T-lymphocytes in the blood, producing hormones of joy);</w:t>
      </w:r>
    </w:p>
    <w:p w:rsidR="00AE0763" w:rsidRDefault="00912C9B">
      <w:pPr>
        <w:spacing w:line="360" w:lineRule="auto"/>
        <w:ind w:left="426" w:right="139" w:firstLine="99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music therapy (classical music best contributes to harmonizing the state);</w:t>
      </w:r>
    </w:p>
    <w:p w:rsidR="00AE0763" w:rsidRDefault="00912C9B">
      <w:pPr>
        <w:spacing w:line="360" w:lineRule="auto"/>
        <w:ind w:left="426" w:right="139" w:firstLine="99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communication with family, friends;</w:t>
      </w:r>
    </w:p>
    <w:p w:rsidR="00AE0763" w:rsidRDefault="00912C9B">
      <w:pPr>
        <w:spacing w:line="360" w:lineRule="auto"/>
        <w:ind w:left="426" w:right="139" w:firstLine="99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doing favorite things, hobbies;</w:t>
      </w:r>
    </w:p>
    <w:p w:rsidR="00AE0763" w:rsidRDefault="00912C9B">
      <w:pPr>
        <w:spacing w:line="360" w:lineRule="auto"/>
        <w:ind w:left="426" w:right="139" w:firstLine="99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spending free time in nature, with animals, etc.</w:t>
      </w:r>
    </w:p>
    <w:p w:rsidR="00AE0763" w:rsidRDefault="00912C9B">
      <w:pPr>
        <w:spacing w:line="360" w:lineRule="auto"/>
        <w:ind w:left="426" w:right="139" w:firstLine="99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Value-semantic methods</w:t>
      </w:r>
    </w:p>
    <w:p w:rsidR="00AE0763" w:rsidRDefault="00912C9B">
      <w:pPr>
        <w:spacing w:line="360" w:lineRule="auto"/>
        <w:ind w:left="426" w:right="139" w:firstLine="99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It is important to learn to pay attention to the positive moments of life and be able to be grateful for them. The question "for what?" should be transformed into a positive "for what purpose?". If you approach all life situations in this way, they stop to seem like problems and become learning aids.</w:t>
      </w:r>
    </w:p>
    <w:p w:rsidR="00AE0763" w:rsidRDefault="00AE0763">
      <w:pPr>
        <w:spacing w:line="360" w:lineRule="auto"/>
        <w:ind w:left="426" w:right="139"/>
        <w:jc w:val="both"/>
        <w:rPr>
          <w:rFonts w:ascii="Times New Roman" w:eastAsia="Times New Roman" w:hAnsi="Times New Roman" w:cs="Times New Roman"/>
          <w:sz w:val="28"/>
          <w:szCs w:val="28"/>
        </w:rPr>
      </w:pPr>
    </w:p>
    <w:p w:rsidR="00AE0763" w:rsidRDefault="00912C9B">
      <w:pPr>
        <w:ind w:left="426" w:right="139"/>
        <w:jc w:val="both"/>
        <w:rPr>
          <w:rFonts w:ascii="Times New Roman" w:eastAsia="Times New Roman" w:hAnsi="Times New Roman" w:cs="Times New Roman"/>
          <w:sz w:val="28"/>
          <w:szCs w:val="28"/>
        </w:rPr>
      </w:pPr>
      <w:r>
        <w:br w:type="page"/>
      </w:r>
    </w:p>
    <w:p w:rsidR="00AE0763" w:rsidRDefault="00912C9B" w:rsidP="00052B12">
      <w:pPr>
        <w:spacing w:line="360" w:lineRule="auto"/>
        <w:ind w:left="284" w:right="567" w:firstLine="425"/>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lastRenderedPageBreak/>
        <w:t>REFERENCES</w:t>
      </w:r>
    </w:p>
    <w:p w:rsidR="00AE0763" w:rsidRDefault="00AE0763" w:rsidP="00052B12">
      <w:pPr>
        <w:spacing w:line="360" w:lineRule="auto"/>
        <w:ind w:left="284" w:right="567" w:firstLine="425"/>
        <w:jc w:val="center"/>
        <w:rPr>
          <w:rFonts w:ascii="Times New Roman" w:eastAsia="Times New Roman" w:hAnsi="Times New Roman" w:cs="Times New Roman"/>
          <w:b/>
          <w:sz w:val="28"/>
          <w:szCs w:val="28"/>
          <w:highlight w:val="white"/>
        </w:rPr>
      </w:pPr>
    </w:p>
    <w:p w:rsidR="00AE0763" w:rsidRDefault="00912C9B" w:rsidP="00052B12">
      <w:pPr>
        <w:numPr>
          <w:ilvl w:val="0"/>
          <w:numId w:val="1"/>
        </w:numPr>
        <w:pBdr>
          <w:top w:val="nil"/>
          <w:left w:val="nil"/>
          <w:bottom w:val="nil"/>
          <w:right w:val="nil"/>
          <w:between w:val="nil"/>
        </w:pBdr>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Pappa S, Ntella V, Giannakas T, Giannakoulis VG, Papoutsi E, Katsaounou P. Prevalence of depression, anxiety, and insomnia among healthcare workers during the COVID-19 pandemic: a systematic review and meta-analysis. Brain Behav Immun. 2020; 88: 901–7. DOI: 10.1016/j.bbi.2020.05.026.</w:t>
      </w:r>
    </w:p>
    <w:p w:rsidR="00AE0763" w:rsidRDefault="00912C9B" w:rsidP="00052B12">
      <w:pPr>
        <w:numPr>
          <w:ilvl w:val="0"/>
          <w:numId w:val="1"/>
        </w:numPr>
        <w:pBdr>
          <w:top w:val="nil"/>
          <w:left w:val="nil"/>
          <w:bottom w:val="nil"/>
          <w:right w:val="nil"/>
          <w:between w:val="nil"/>
        </w:pBdr>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Zigmond A. S. The hospital anxiety and depression scale / A. S. Zigmond, R .P. Snaith // Acta Psychiatr. Scand. – 1983. – Vol. 67 (6). – P. 361–370.</w:t>
      </w:r>
    </w:p>
    <w:p w:rsidR="00AE0763" w:rsidRDefault="00912C9B" w:rsidP="00052B12">
      <w:pPr>
        <w:numPr>
          <w:ilvl w:val="0"/>
          <w:numId w:val="1"/>
        </w:numPr>
        <w:pBdr>
          <w:top w:val="nil"/>
          <w:left w:val="nil"/>
          <w:bottom w:val="nil"/>
          <w:right w:val="nil"/>
          <w:between w:val="nil"/>
        </w:pBdr>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Das N. Psychiatrist in post-COVID-19 era - Are we prepared? / N. Das // Asian J. Psychiatr. – 2020. – Vol. 51. – P. 102082. </w:t>
      </w:r>
    </w:p>
    <w:p w:rsidR="00AE0763" w:rsidRDefault="00912C9B" w:rsidP="00052B12">
      <w:pPr>
        <w:numPr>
          <w:ilvl w:val="0"/>
          <w:numId w:val="1"/>
        </w:numPr>
        <w:pBdr>
          <w:top w:val="nil"/>
          <w:left w:val="nil"/>
          <w:bottom w:val="nil"/>
          <w:right w:val="nil"/>
          <w:between w:val="nil"/>
        </w:pBdr>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Online mental health services in China during the COVID-19 outbreak / S. Liu, L. Yang, C. Zhang [et al.] // Lancet Psychiatry. – 2020. – Vol. 7 (4). – P. e17–e18. </w:t>
      </w:r>
    </w:p>
    <w:p w:rsidR="00AE0763" w:rsidRDefault="00912C9B" w:rsidP="00052B12">
      <w:pPr>
        <w:numPr>
          <w:ilvl w:val="0"/>
          <w:numId w:val="1"/>
        </w:numPr>
        <w:pBdr>
          <w:top w:val="nil"/>
          <w:left w:val="nil"/>
          <w:bottom w:val="nil"/>
          <w:right w:val="nil"/>
          <w:between w:val="nil"/>
        </w:pBdr>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Psychological Impact of the COVID-19 Pandemic on Health Care Workersin Singapore / Y. Q. Tan Benjamin, N. W. S. Chew, G. K. H. Lee [et al.] // Ann Intern. Med. – 2020. – Vol. 173 (4). – P. 317–320. </w:t>
      </w:r>
    </w:p>
    <w:p w:rsidR="00AE0763" w:rsidRDefault="00912C9B" w:rsidP="00052B12">
      <w:pPr>
        <w:numPr>
          <w:ilvl w:val="0"/>
          <w:numId w:val="1"/>
        </w:numPr>
        <w:pBdr>
          <w:top w:val="nil"/>
          <w:left w:val="nil"/>
          <w:bottom w:val="nil"/>
          <w:right w:val="nil"/>
          <w:between w:val="nil"/>
        </w:pBdr>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Prevalence of self-reported depression and anxiety among pediatric medical staff members during the COVID-19 outbreak in Guiyang, China / Y. Chen, H. Zhou, Y. Zhou, F. Zhou // Psychiatry Res. – 2020. – Vol. 288. – P.113005.</w:t>
      </w:r>
    </w:p>
    <w:p w:rsidR="00AE0763" w:rsidRDefault="00912C9B" w:rsidP="00052B12">
      <w:pPr>
        <w:numPr>
          <w:ilvl w:val="0"/>
          <w:numId w:val="1"/>
        </w:numPr>
        <w:pBdr>
          <w:top w:val="nil"/>
          <w:left w:val="nil"/>
          <w:bottom w:val="nil"/>
          <w:right w:val="nil"/>
          <w:between w:val="nil"/>
        </w:pBdr>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Erratum in: Brain Behav Immun. 2021 Feb;92:247. doi: 10.1016/j.bbi.2020.11.023. PMID: 32437915; PMCID: PMC7206431.</w:t>
      </w:r>
    </w:p>
    <w:p w:rsidR="00AE0763" w:rsidRDefault="00912C9B" w:rsidP="00052B12">
      <w:pPr>
        <w:numPr>
          <w:ilvl w:val="0"/>
          <w:numId w:val="1"/>
        </w:numPr>
        <w:pBdr>
          <w:top w:val="nil"/>
          <w:left w:val="nil"/>
          <w:bottom w:val="nil"/>
          <w:right w:val="nil"/>
          <w:between w:val="nil"/>
        </w:pBdr>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Sadock B.J., Sadock V.A., Ruiz P. Kaplan and Sadock Synopsis of Psy chiatry: Behavioral Sciences/Clinical Psychiatry. 11th. Philadelphia, Pa, USA: Wolters, Kluwer, 2015. 3237 p</w:t>
      </w:r>
    </w:p>
    <w:p w:rsidR="00AE0763" w:rsidRDefault="00912C9B" w:rsidP="00052B12">
      <w:pPr>
        <w:numPr>
          <w:ilvl w:val="0"/>
          <w:numId w:val="1"/>
        </w:numPr>
        <w:pBdr>
          <w:top w:val="nil"/>
          <w:left w:val="nil"/>
          <w:bottom w:val="nil"/>
          <w:right w:val="nil"/>
          <w:between w:val="nil"/>
        </w:pBdr>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URL: https://www.who.int/ ru/news-room/fact-sheets/detail/ depression. Institute of health metrics and evaluation. Global health data exchange (GHDx). http://ghdx.healthdata.org/gbdresults-tool?params=gbd-api2019permalink/ d780dffbe8a381b25e1416884959e88b</w:t>
      </w:r>
    </w:p>
    <w:p w:rsidR="00AE0763" w:rsidRDefault="00912C9B" w:rsidP="00052B12">
      <w:pPr>
        <w:numPr>
          <w:ilvl w:val="0"/>
          <w:numId w:val="1"/>
        </w:numPr>
        <w:pBdr>
          <w:top w:val="nil"/>
          <w:left w:val="nil"/>
          <w:bottom w:val="nil"/>
          <w:right w:val="nil"/>
          <w:between w:val="nil"/>
        </w:pBdr>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Yinggui Q, Qian W, Rui C, Cuiling G. Research on psychological stress and mental health of medical staff in COVID-19 prevention and control. Int J Disaster Risk Reduct. 2021; 65: 102524. DOI: 10.1016/j.ijdrr.2021.102524. </w:t>
      </w:r>
    </w:p>
    <w:p w:rsidR="00AE0763" w:rsidRDefault="00912C9B" w:rsidP="00052B12">
      <w:pPr>
        <w:numPr>
          <w:ilvl w:val="0"/>
          <w:numId w:val="1"/>
        </w:numPr>
        <w:pBdr>
          <w:top w:val="nil"/>
          <w:left w:val="nil"/>
          <w:bottom w:val="nil"/>
          <w:right w:val="nil"/>
          <w:between w:val="nil"/>
        </w:pBdr>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Jackson D, Bradbury-Jones C, Baptiste D, Gelling L, Morin K, Neville S, Smith GD. Life in the pandemic: Some reflections on nursing in the context of COVID-19. Journal of Clinical Nursing,2020; 29(13–14): 2041– 2043.</w:t>
      </w:r>
    </w:p>
    <w:p w:rsidR="00AE0763" w:rsidRDefault="00912C9B" w:rsidP="00052B12">
      <w:pPr>
        <w:numPr>
          <w:ilvl w:val="0"/>
          <w:numId w:val="1"/>
        </w:numPr>
        <w:pBdr>
          <w:top w:val="nil"/>
          <w:left w:val="nil"/>
          <w:bottom w:val="nil"/>
          <w:right w:val="nil"/>
          <w:between w:val="nil"/>
        </w:pBdr>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Smith  GD,  Bradbury-Jones  C,  Gelling  L,  Neville  S,  Pandian  V,  Salamonson  Y,  Hayter  M.  Addressing  the  mental health  of  nurses  during  the  COVID-19  pandemic:  Time  for  support.  J  Clin  Nurs,  2022;  31:  e32–e33. DOI: 10.1111/ jocn.16383.</w:t>
      </w:r>
    </w:p>
    <w:p w:rsidR="00AE0763" w:rsidRDefault="00912C9B" w:rsidP="00052B12">
      <w:pPr>
        <w:numPr>
          <w:ilvl w:val="0"/>
          <w:numId w:val="1"/>
        </w:numPr>
        <w:pBdr>
          <w:top w:val="nil"/>
          <w:left w:val="nil"/>
          <w:bottom w:val="nil"/>
          <w:right w:val="nil"/>
          <w:between w:val="nil"/>
        </w:pBdr>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Zhang H, Shi Y, Jing P, Zhan P, Fang Y, Wang F. Posttraumatic stress disorder symptoms in healthcare workers after the peak of the COVID-19 outbreak: a survey of a large tertiary care hospital in Wuhan. Psychiatry Res. 2020; 294: 113541. DOI: 10.1016/j.psychres.2020.113541.</w:t>
      </w:r>
    </w:p>
    <w:p w:rsidR="00AE0763" w:rsidRDefault="00912C9B" w:rsidP="00052B12">
      <w:pPr>
        <w:numPr>
          <w:ilvl w:val="0"/>
          <w:numId w:val="1"/>
        </w:numPr>
        <w:pBdr>
          <w:top w:val="nil"/>
          <w:left w:val="nil"/>
          <w:bottom w:val="nil"/>
          <w:right w:val="nil"/>
          <w:between w:val="nil"/>
        </w:pBdr>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Chen R, Sun C, Chen JJ, Jen HJ, Kang XL, Kao CC, et al. A large-scale survey on trauma, burnout, and posttraumatic growth among nurses during the COVID-19 pandemic. Int J Ment Health Nurs. 2021; 30: 102–16. DOI: 10.1111/inm.12796.</w:t>
      </w:r>
    </w:p>
    <w:p w:rsidR="00AE0763" w:rsidRDefault="00912C9B" w:rsidP="00052B12">
      <w:pPr>
        <w:numPr>
          <w:ilvl w:val="0"/>
          <w:numId w:val="1"/>
        </w:numPr>
        <w:pBdr>
          <w:top w:val="nil"/>
          <w:left w:val="nil"/>
          <w:bottom w:val="nil"/>
          <w:right w:val="nil"/>
          <w:between w:val="nil"/>
        </w:pBdr>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Chiahui Chen, Scott T. Meier, Burnout and depression in nurses: A systematic review and meta-analysis, International  Journal of Nursing Studies, Volume 124, 2021, 104099, ISSN 0020-7489, </w:t>
      </w:r>
      <w:hyperlink r:id="rId32">
        <w:r>
          <w:rPr>
            <w:rFonts w:ascii="Times New Roman" w:eastAsia="Times New Roman" w:hAnsi="Times New Roman" w:cs="Times New Roman"/>
            <w:sz w:val="28"/>
            <w:szCs w:val="28"/>
            <w:highlight w:val="white"/>
            <w:u w:val="single"/>
          </w:rPr>
          <w:t>https://doi.org/10.1016/j.ijnurstu.2021.104099</w:t>
        </w:r>
      </w:hyperlink>
      <w:r>
        <w:rPr>
          <w:rFonts w:ascii="Times New Roman" w:eastAsia="Times New Roman" w:hAnsi="Times New Roman" w:cs="Times New Roman"/>
          <w:sz w:val="28"/>
          <w:szCs w:val="28"/>
          <w:highlight w:val="white"/>
        </w:rPr>
        <w:t>.</w:t>
      </w:r>
    </w:p>
    <w:p w:rsidR="00AE0763" w:rsidRDefault="00912C9B"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Brandford AA, Reed DB. Depression in Registered Nurses: A State of the Science. Workplace Health &amp; Safety. 2016;64(10):488-511. doi:10.1177/2165079916653415</w:t>
      </w:r>
    </w:p>
    <w:p w:rsidR="00AE0763" w:rsidRDefault="00912C9B"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Marcus, M., Yasamy, M. T., van Ommeren, M. V., Chisholm, D., &amp; Saxena, S. (2012). Depression: A global public health concern.</w:t>
      </w:r>
    </w:p>
    <w:p w:rsidR="00AE0763" w:rsidRDefault="00912C9B" w:rsidP="00052B12">
      <w:pPr>
        <w:numPr>
          <w:ilvl w:val="0"/>
          <w:numId w:val="1"/>
        </w:numPr>
        <w:pBdr>
          <w:top w:val="nil"/>
          <w:left w:val="nil"/>
          <w:bottom w:val="nil"/>
          <w:right w:val="nil"/>
          <w:between w:val="nil"/>
        </w:pBdr>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American  Psychiatric  Foundation  [APF],  Partnership  for  Workplace  Mental  Health,  2015;  Langlieb  &amp;  DePaulo,  2008;</w:t>
      </w:r>
    </w:p>
    <w:p w:rsidR="00AE0763" w:rsidRDefault="00912C9B" w:rsidP="00052B12">
      <w:pPr>
        <w:numPr>
          <w:ilvl w:val="0"/>
          <w:numId w:val="1"/>
        </w:numPr>
        <w:pBdr>
          <w:top w:val="nil"/>
          <w:left w:val="nil"/>
          <w:bottom w:val="nil"/>
          <w:right w:val="nil"/>
          <w:between w:val="nil"/>
        </w:pBdr>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Shajan, A., &amp; Nisha, C. (2019). Anxiety and depression among nurses working in a tertiary care hospital in South India.  </w:t>
      </w:r>
      <w:r>
        <w:rPr>
          <w:rFonts w:ascii="Times New Roman" w:eastAsia="Times New Roman" w:hAnsi="Times New Roman" w:cs="Times New Roman"/>
          <w:i/>
          <w:sz w:val="28"/>
          <w:szCs w:val="28"/>
          <w:highlight w:val="white"/>
        </w:rPr>
        <w:t>International Journal of Advances in Medicine</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highlight w:val="white"/>
        </w:rPr>
        <w:t>6</w:t>
      </w:r>
      <w:r>
        <w:rPr>
          <w:rFonts w:ascii="Times New Roman" w:eastAsia="Times New Roman" w:hAnsi="Times New Roman" w:cs="Times New Roman"/>
          <w:sz w:val="28"/>
          <w:szCs w:val="28"/>
          <w:highlight w:val="white"/>
        </w:rPr>
        <w:t>(5), 1611–1615. https://doi.org/10.18203/2349-3933.ijam20194228</w:t>
      </w:r>
    </w:p>
    <w:p w:rsidR="00AE0763" w:rsidRDefault="00912C9B"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Chen C, Meier ST. Burnout and depression in nurses: A systematic review and meta-analysis. Int J Nurs Stud. 2021 Dec;124:104099. doi: 10.1016/j.ijnurstu.2021.104099. Epub 2021 Oct 1. Erratum in: Int J Nurs Stud. 2022 Mar;127:104180. doi: 10.1016/j.ijnurstu.2022.104180. PMID: 34715576.</w:t>
      </w:r>
    </w:p>
    <w:p w:rsidR="00AE0763" w:rsidRDefault="00912C9B"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HaGani N, Yagil D, Cohen M. </w:t>
      </w:r>
      <w:hyperlink r:id="rId33">
        <w:r>
          <w:rPr>
            <w:rFonts w:ascii="Times New Roman" w:eastAsia="Times New Roman" w:hAnsi="Times New Roman" w:cs="Times New Roman"/>
            <w:sz w:val="28"/>
            <w:szCs w:val="28"/>
            <w:highlight w:val="white"/>
          </w:rPr>
          <w:t xml:space="preserve">Burnout among oncologists and oncology nurses. </w:t>
        </w:r>
      </w:hyperlink>
      <w:r>
        <w:rPr>
          <w:rFonts w:ascii="Times New Roman" w:eastAsia="Times New Roman" w:hAnsi="Times New Roman" w:cs="Times New Roman"/>
          <w:sz w:val="28"/>
          <w:szCs w:val="28"/>
          <w:highlight w:val="white"/>
        </w:rPr>
        <w:t>Health Psychol. 2022 Jan;41(1):53-64. doi: 10.1037/hea0001155.PMID:  35113585</w:t>
      </w:r>
    </w:p>
    <w:p w:rsidR="00AE0763" w:rsidRDefault="00912C9B"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Prevalence of burnout in in China: A meta-analysis of observational studies Zeng LN, Zhang JW, Zong QQ, Chan SW, Browne G, Ungvari GS, Chen LG, Xiang YT.Arch Psychiatr Nurs. 2020 Jun;34(3):141-148. doi: 10.1016/j.apnu.2020.03.006. Epub 2020 Mar 13.PMID:  32513464  Review.</w:t>
      </w:r>
    </w:p>
    <w:p w:rsidR="00AE0763" w:rsidRDefault="00912C9B"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Gi TS, Devi KM, Neo Kim EA.JBI. A systematic review on the relationship between the nursing shortage and nurses' job satisfaction, stress and burnout levels in oncology/haematology setting/  Libr Syst Rev. 2011;9(39):1603-1649. doi: 10.11124/01938924-201109390-00001.PMID:  27819963</w:t>
      </w:r>
    </w:p>
    <w:p w:rsidR="00AE0763" w:rsidRDefault="00912C9B"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Larysz A, Prokopowicz A, Zakliczyński M, Uchmanowicz I.Int J Environ Res Public Health. 2021 Nov 16;18(22):12038. doi: 10.3390/ijerph182212038.PMID:  34831790  </w:t>
      </w:r>
      <w:hyperlink r:id="rId34">
        <w:r>
          <w:rPr>
            <w:rFonts w:ascii="Times New Roman" w:eastAsia="Times New Roman" w:hAnsi="Times New Roman" w:cs="Times New Roman"/>
            <w:sz w:val="28"/>
            <w:szCs w:val="28"/>
            <w:highlight w:val="white"/>
          </w:rPr>
          <w:t>Occurrence of Professional Burnout and Severity of Depressive Symptoms among Cardiac Nurses: A Cross-Sectional Study.</w:t>
        </w:r>
      </w:hyperlink>
      <w:r>
        <w:rPr>
          <w:rFonts w:ascii="Times New Roman" w:eastAsia="Times New Roman" w:hAnsi="Times New Roman" w:cs="Times New Roman"/>
          <w:sz w:val="28"/>
          <w:szCs w:val="28"/>
          <w:highlight w:val="white"/>
        </w:rPr>
        <w:t xml:space="preserve">/ </w:t>
      </w:r>
    </w:p>
    <w:p w:rsidR="00AE0763" w:rsidRDefault="00912C9B"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Toh SG, Ang E, Devi MK.Int J Systematic review on the relationship between the nursing shortage and job satisfaction, stress and burnout levels among nurses in oncology/haematology settings. Evid Based </w:t>
      </w:r>
      <w:r>
        <w:rPr>
          <w:rFonts w:ascii="Times New Roman" w:eastAsia="Times New Roman" w:hAnsi="Times New Roman" w:cs="Times New Roman"/>
          <w:sz w:val="28"/>
          <w:szCs w:val="28"/>
          <w:highlight w:val="white"/>
        </w:rPr>
        <w:lastRenderedPageBreak/>
        <w:t>Healthc. 2012 Jun;10(2):126-41. doi: 10.1111/j.1744-1609.2012.00271.x.PMID:  22672602  Review.</w:t>
      </w:r>
    </w:p>
    <w:p w:rsidR="00AE0763" w:rsidRDefault="00912C9B"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Personality Factors as Predictors in Burnout Level Changes for Surgical Area Nurses. Velando-Soriano A, Cañadas GR, Monsalve-Reyes CS, Romero-Béjar JL, Esquivel FJ, De la Fuente-Solana EI, Cañadas-De la Fuente GA.Brain Sci. 2022 Nov 1;12(11):1481. doi: 10.3390/brainsci12111481.PMID:  36358407.</w:t>
      </w:r>
    </w:p>
    <w:p w:rsidR="00AE0763" w:rsidRDefault="00DD71AF"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right="567" w:firstLine="425"/>
        <w:jc w:val="both"/>
        <w:rPr>
          <w:rFonts w:ascii="Times New Roman" w:eastAsia="Times New Roman" w:hAnsi="Times New Roman" w:cs="Times New Roman"/>
          <w:sz w:val="28"/>
          <w:szCs w:val="28"/>
          <w:highlight w:val="white"/>
        </w:rPr>
      </w:pPr>
      <w:hyperlink r:id="rId35">
        <w:r w:rsidR="00912C9B">
          <w:rPr>
            <w:rFonts w:ascii="Times New Roman" w:eastAsia="Times New Roman" w:hAnsi="Times New Roman" w:cs="Times New Roman"/>
            <w:sz w:val="28"/>
            <w:szCs w:val="28"/>
            <w:highlight w:val="white"/>
          </w:rPr>
          <w:t>Prevalence and drivers of nurse and physician distress in cardiovascular and oncology programmes at a Canadian quaternary hospital network during the COVID-19 pandemic: a quality improvement initiative. .</w:t>
        </w:r>
      </w:hyperlink>
      <w:r w:rsidR="00912C9B">
        <w:rPr>
          <w:rFonts w:ascii="Times New Roman" w:eastAsia="Times New Roman" w:hAnsi="Times New Roman" w:cs="Times New Roman"/>
          <w:sz w:val="28"/>
          <w:szCs w:val="28"/>
          <w:highlight w:val="white"/>
        </w:rPr>
        <w:t xml:space="preserve">Jelen A, Rodin G, Graham L, Goldfarb R, Mah K, Satele DV, Elliot M, Krzyzanowska MK, Rubin BB.BMJ Open. 2024 Feb 12;14(2):e079106. doi: 10.1136/bmjopen-2023-079106.PMID:  38346886  </w:t>
      </w:r>
    </w:p>
    <w:p w:rsidR="00AE0763" w:rsidRDefault="00DD71AF"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right="567" w:firstLine="425"/>
        <w:jc w:val="both"/>
        <w:rPr>
          <w:rFonts w:ascii="Times New Roman" w:eastAsia="Times New Roman" w:hAnsi="Times New Roman" w:cs="Times New Roman"/>
          <w:sz w:val="28"/>
          <w:szCs w:val="28"/>
          <w:highlight w:val="white"/>
        </w:rPr>
      </w:pPr>
      <w:hyperlink r:id="rId36">
        <w:r w:rsidR="00912C9B">
          <w:rPr>
            <w:rFonts w:ascii="Times New Roman" w:eastAsia="Times New Roman" w:hAnsi="Times New Roman" w:cs="Times New Roman"/>
            <w:sz w:val="28"/>
            <w:szCs w:val="28"/>
            <w:highlight w:val="white"/>
          </w:rPr>
          <w:t>Burnout during the COVID-19 pandemic among nurses in Taiwan: the parental role effect on burnout.</w:t>
        </w:r>
      </w:hyperlink>
      <w:r w:rsidR="00912C9B">
        <w:rPr>
          <w:rFonts w:ascii="Times New Roman" w:eastAsia="Times New Roman" w:hAnsi="Times New Roman" w:cs="Times New Roman"/>
          <w:sz w:val="28"/>
          <w:szCs w:val="28"/>
          <w:highlight w:val="white"/>
        </w:rPr>
        <w:t xml:space="preserve"> Chen YH, Saffari M, Lin CY, Tang HM, Yang CW, Lee CH, Wang WY, Jong GP.BMC Health Serv Res. 2024 Jun 4;24(1):703. doi: 10.1186/s12913-024-11159-w.PMID:  38835036</w:t>
      </w:r>
    </w:p>
    <w:p w:rsidR="00AE0763" w:rsidRDefault="00DD71AF"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right="567" w:firstLine="425"/>
        <w:jc w:val="both"/>
        <w:rPr>
          <w:rFonts w:ascii="Times New Roman" w:eastAsia="Times New Roman" w:hAnsi="Times New Roman" w:cs="Times New Roman"/>
          <w:sz w:val="28"/>
          <w:szCs w:val="28"/>
          <w:highlight w:val="white"/>
        </w:rPr>
      </w:pPr>
      <w:hyperlink r:id="rId37">
        <w:r w:rsidR="00912C9B">
          <w:rPr>
            <w:rFonts w:ascii="Times New Roman" w:eastAsia="Times New Roman" w:hAnsi="Times New Roman" w:cs="Times New Roman"/>
            <w:sz w:val="28"/>
            <w:szCs w:val="28"/>
            <w:highlight w:val="white"/>
          </w:rPr>
          <w:t>Prepandemic Mental Health and Well-being: Differences Within the Health Care Workforce and the Need for Targeted Resources.</w:t>
        </w:r>
      </w:hyperlink>
      <w:r w:rsidR="00912C9B">
        <w:rPr>
          <w:rFonts w:ascii="Times New Roman" w:eastAsia="Times New Roman" w:hAnsi="Times New Roman" w:cs="Times New Roman"/>
          <w:sz w:val="28"/>
          <w:szCs w:val="28"/>
          <w:highlight w:val="white"/>
        </w:rPr>
        <w:t xml:space="preserve"> Silver SR, Li J, Marsh SM, Carbone EG.J Occup Environ Med. 2022 Dec 1;64(12):1025-1035. doi: 10.1097/JOM.0000000000002630.PMID:  36472564</w:t>
      </w:r>
    </w:p>
    <w:p w:rsidR="00AE0763" w:rsidRDefault="00DD71AF" w:rsidP="00052B12">
      <w:pPr>
        <w:numPr>
          <w:ilvl w:val="0"/>
          <w:numId w:val="1"/>
        </w:numPr>
        <w:spacing w:line="360" w:lineRule="auto"/>
        <w:ind w:left="284" w:right="567" w:firstLine="425"/>
        <w:jc w:val="both"/>
        <w:rPr>
          <w:rFonts w:ascii="Times New Roman" w:eastAsia="Times New Roman" w:hAnsi="Times New Roman" w:cs="Times New Roman"/>
          <w:sz w:val="28"/>
          <w:szCs w:val="28"/>
          <w:highlight w:val="white"/>
        </w:rPr>
      </w:pPr>
      <w:hyperlink r:id="rId38">
        <w:r w:rsidR="00912C9B">
          <w:rPr>
            <w:rFonts w:ascii="Times New Roman" w:eastAsia="Times New Roman" w:hAnsi="Times New Roman" w:cs="Times New Roman"/>
            <w:sz w:val="28"/>
            <w:szCs w:val="28"/>
            <w:highlight w:val="white"/>
          </w:rPr>
          <w:t>The prevalence of probable mental health disorders among hospital healthcare workers during COVID-19: A systematic review and meta-analysis.</w:t>
        </w:r>
      </w:hyperlink>
      <w:r w:rsidR="00912C9B">
        <w:rPr>
          <w:rFonts w:ascii="Times New Roman" w:eastAsia="Times New Roman" w:hAnsi="Times New Roman" w:cs="Times New Roman"/>
          <w:sz w:val="28"/>
          <w:szCs w:val="28"/>
          <w:highlight w:val="white"/>
        </w:rPr>
        <w:t xml:space="preserve"> Lee BEC, Ling M, Boyd L, Olsson C, Sheen J.J Affect Disord. 2023 Jun 1;330:329-345. doi: 10.1016/j.jad.2023.03.012. Epub 2023 Mar 16.PMID:  36931567  </w:t>
      </w:r>
    </w:p>
    <w:p w:rsidR="00AE0763" w:rsidRDefault="00912C9B"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Chen C, Meier ST. Burnout and depression in nurses: A systematic review and meta-analysis. Int J Nurs Stud. 2021 Dec;124:104099. doi: 10.1016/j.ijnurstu.2021.104099. Epub 2021 Oct 1. Erratum in: Int J Nurs Stud. 2022 Mar;127:104180. doi: 10.1016/j.ijnurstu.2022.104180. PMID: 34715576.</w:t>
      </w:r>
    </w:p>
    <w:p w:rsidR="00AE0763" w:rsidRDefault="00912C9B"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Jelen A, Rodin G, Graham L, Goldfarb R, Mah K, Satele DV, Elliot M, Krzyzanowska MK, Rubin BB. Prevalence and drivers of nurse and physician distress in cardiovascular and oncology programmes at a Canadian quaternary hospital network during the COVID-19 pandemic: a quality improvement initiative. BMJ Open. 2024 Feb 12;14(2):e079106. doi: 10.1136/bmjopen-2023-079106. PMID: 38346886; PMCID: PMC10862283.</w:t>
      </w:r>
    </w:p>
    <w:p w:rsidR="00AE0763" w:rsidRDefault="00912C9B"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Velando-Soriano A, Cañadas GR, Monsalve-Reyes CS, Romero-Béjar JL, Esquivel FJ, De la Fuente-Solana EI, Cañadas-De la Fuente GA. Personality Factors as Predictors in Burnout Level Changes for Surgical Area Nurses. Brain Sci. 2</w:t>
      </w:r>
    </w:p>
    <w:p w:rsidR="00AE0763" w:rsidRDefault="00912C9B"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Chen YH, Saffari M, Lin CY, Tang HM, Yang CW, Lee CH, Wang WY, Jong GP. Burnout during the COVID-19 pandemic among nurses in Taiwan: the parental role effect on burnout. BMC Health Serv Res. 2024 Jun 4;24(1):703. doi: 10.1186/s12913-024-11159-w. PMID: 38835036; PMCID: PMC11151642.022 Nov 1;12(11):1481. doi: 10.3390/brainsci12111481. PMID: 36358407; PMCID: PMC9688733.</w:t>
      </w:r>
    </w:p>
    <w:p w:rsidR="00AE0763" w:rsidRDefault="00912C9B" w:rsidP="00052B12">
      <w:pPr>
        <w:numPr>
          <w:ilvl w:val="0"/>
          <w:numId w:val="1"/>
        </w:numPr>
        <w:pBdr>
          <w:top w:val="nil"/>
          <w:left w:val="nil"/>
          <w:bottom w:val="nil"/>
          <w:right w:val="nil"/>
          <w:between w:val="nil"/>
        </w:pBdr>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Silver SR, Li J, Marsh SM, Carbone EG. Prepandemic Mental Health and Well-being: Differences Within the Health Care Workforce and the Need for Targeted Resources. J Occup Environ Med. 2022 Dec 1;64(12):1025-1035. doi: 10.1097/JOM.0000000000002630. PMID: 36472564; PMCID: PMC9722331.</w:t>
      </w:r>
    </w:p>
    <w:p w:rsidR="00AE0763" w:rsidRDefault="00912C9B"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Lee BEC, Ling M, Boyd L, Olsson C, Sheen J. The prevalence of probable mental health disorders among hospital healthcare workers during COVID-19: A systematic review and meta-analysis. J Affect Disord. 2023 Jun 1;330:329-345. doi: 10.1016/j.jad.2023.03.012. Epub 2023 Mar 16. PMID: 36931567; PMCID: PMC10017178.</w:t>
      </w:r>
    </w:p>
    <w:p w:rsidR="00AE0763" w:rsidRDefault="00912C9B"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Delafontaine AC, Anders R, Mathieu B, Salathé CR, Putois B. Impact of confrontation to patient suffering and death on wellbeing and burnout in professionals: a cross-sectional study. BMC Palliat</w:t>
      </w:r>
    </w:p>
    <w:p w:rsidR="00AE0763" w:rsidRDefault="00912C9B"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Li LZ, Yang P, Singer SJ, Pfeffer J, Mathur MB, Shanafelt T. Nurse Burnout and Patient Safety, Satisfaction, and Quality of Care: A </w:t>
      </w:r>
      <w:r>
        <w:rPr>
          <w:rFonts w:ascii="Times New Roman" w:eastAsia="Times New Roman" w:hAnsi="Times New Roman" w:cs="Times New Roman"/>
          <w:sz w:val="28"/>
          <w:szCs w:val="28"/>
          <w:highlight w:val="white"/>
        </w:rPr>
        <w:lastRenderedPageBreak/>
        <w:t>Systematic Review and Meta-Analysis. JAMA Netw Open. 2024 Nov 4;7(11):e2443059. doi: 10.1001/jamanetworkopen.2024.43059. PMID: 39499515; PMCID: PMC11539016. Care. 2024 Mar 15;23(1):74. doi: 10.1186/s12904-024-01393-8. PMID: 38486209; PMCID: PMC10941396.</w:t>
      </w:r>
    </w:p>
    <w:p w:rsidR="00AE0763" w:rsidRDefault="00912C9B"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Saintila J, Soriano-Moreno AN, Ramos-Vera C, Oblitas-Guerrero SM, Calizaya-Milla YE. Association between sleep duration and burnout in healthcare professionals: a cross-sectional survey. Front Public Health. 2024 Jan 10;11:1268164. doi: 10.3389/fpubh.2023.1268164. PMID: 38269387; PMCID: PMC10806404.</w:t>
      </w:r>
    </w:p>
    <w:p w:rsidR="00AE0763" w:rsidRDefault="00912C9B"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Qedair JT, Balubaid R, Almadani R, Ezzi S, Qumosani T, Zahid R, Alfayea T. Prevalence and factors associated with burnout among nurses in Jeddah: a single-institution cross-sectional study. BMC Nurs. 2022 Oct 26;21(1):287. doi: 10.1186/s12912-022-01070-2. PMID: 36289486; PMCID: PMC9607756.</w:t>
      </w:r>
    </w:p>
    <w:p w:rsidR="00AE0763" w:rsidRDefault="00912C9B"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Yang S, Kim JH, Jung M, Kim HC, Leem JH, Park SG. Effect of job satisfaction on depression after adjusting for satisfaction with other life domains. Ann Occup Environ Med. 2024 Mar 28;36:e8. doi: 10.35371/aoem.2024.36.e8. PMID: 38623262; PMCID: PMC11016776.</w:t>
      </w:r>
    </w:p>
    <w:p w:rsidR="00AE0763" w:rsidRDefault="00912C9B"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Ogata Y, Sasaki M, Morioka N, Moriwaki M, Yonekura Y, Lake ET. Influence of nurse work environment and psychological distress on resignation from hospitals: a prospective study. Ind Health. 2024 Sep 27;62(5):295-305. doi: 10.2486/indhealth.2023-0184. Epub 2024 Apr 8. PMID: 38583955; PMCID: PMC11462404.</w:t>
      </w:r>
    </w:p>
    <w:p w:rsidR="00AE0763" w:rsidRDefault="00912C9B"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Nazzari S, Grumi S, Ciotti S, Merusi I, Provenzi L, Gagliardi L. Determinants of emotional distress in neonatal healthcare professionals: An exploratory analysis. Front Public Health. 2022 Sep 29;10:968789. doi: 10.3389/fpubh.2022.968789. PMID: 36249219; PMCID: PMC9556841.</w:t>
      </w:r>
    </w:p>
    <w:p w:rsidR="00AE0763" w:rsidRDefault="00912C9B"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right="567" w:firstLine="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Fu C, Cui X, Geng L, Cao F. Association between social support and depressive symptoms among Chinese nurses with formal employment versus contract-based employment. Front Psychiatry. 2023 Feb 27;14:1037499. doi: 10.3389/fpsyt.2023.1037499. PMID: 36923523; PMCID: </w:t>
      </w:r>
      <w:r>
        <w:rPr>
          <w:rFonts w:ascii="Times New Roman" w:eastAsia="Times New Roman" w:hAnsi="Times New Roman" w:cs="Times New Roman"/>
          <w:sz w:val="28"/>
          <w:szCs w:val="28"/>
          <w:highlight w:val="white"/>
        </w:rPr>
        <w:lastRenderedPageBreak/>
        <w:t>PMC10009186.ms  and  increasing  social  support  are  crucial  for  Chinese  nurses,  particularly  those  who  work  on  contracts.</w:t>
      </w:r>
    </w:p>
    <w:p w:rsidR="00AE0763" w:rsidRDefault="00912C9B"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Yuan T, Ren H, Yin X, Liang L, Fei J, Liu X, Zheng C, Wang H, Gao J, Mei S, Li H. How does psychosocial safety climate cross-level influence work engagement and job burnout: the roles of organization-based self-esteem and psychological detachment. BMC Nurs. 2024 Jun 6;23(1):389. doi: 10.1186/s12912-024-01935-8. PMID: 38844927; PMCID: PMC11154979.</w:t>
      </w:r>
    </w:p>
    <w:p w:rsidR="00AE0763" w:rsidRDefault="00912C9B" w:rsidP="00052B12">
      <w:pPr>
        <w:numPr>
          <w:ilvl w:val="0"/>
          <w:numId w:val="1"/>
        </w:numPr>
        <w:pBdr>
          <w:top w:val="nil"/>
          <w:left w:val="nil"/>
          <w:bottom w:val="nil"/>
          <w:right w:val="nil"/>
          <w:between w:val="nil"/>
        </w:pBdr>
        <w:tabs>
          <w:tab w:val="left" w:pos="916"/>
        </w:tabs>
        <w:spacing w:line="360" w:lineRule="auto"/>
        <w:ind w:left="0" w:firstLine="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Firth-Cozens J. Stress in doctors: not so simple solutions // British Journal of Hospital Medicine, 1994. — 52. — S. 435-436.</w:t>
      </w:r>
    </w:p>
    <w:p w:rsidR="00AE0763" w:rsidRDefault="00912C9B" w:rsidP="00052B12">
      <w:pPr>
        <w:numPr>
          <w:ilvl w:val="0"/>
          <w:numId w:val="1"/>
        </w:numPr>
        <w:pBdr>
          <w:top w:val="nil"/>
          <w:left w:val="nil"/>
          <w:bottom w:val="nil"/>
          <w:right w:val="nil"/>
          <w:between w:val="nil"/>
        </w:pBdr>
        <w:tabs>
          <w:tab w:val="left" w:pos="916"/>
        </w:tabs>
        <w:spacing w:line="360" w:lineRule="auto"/>
        <w:ind w:left="0" w:firstLine="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Aveline M. Occupational stress and performance in mental health workers // Current Opinion in Psychiatry. — 1995. — 8. — S. 73-75.</w:t>
      </w:r>
    </w:p>
    <w:p w:rsidR="00AE0763" w:rsidRDefault="00912C9B" w:rsidP="00052B12">
      <w:pPr>
        <w:numPr>
          <w:ilvl w:val="0"/>
          <w:numId w:val="1"/>
        </w:numPr>
        <w:pBdr>
          <w:top w:val="nil"/>
          <w:left w:val="nil"/>
          <w:bottom w:val="nil"/>
          <w:right w:val="nil"/>
          <w:between w:val="nil"/>
        </w:pBdr>
        <w:tabs>
          <w:tab w:val="left" w:pos="916"/>
        </w:tabs>
        <w:spacing w:line="360" w:lineRule="auto"/>
        <w:ind w:left="0" w:firstLine="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10. King M.В., Cockcroft A., Gooch С. Emotional distress in doctors: sources, effects and help sought // Journal of the Royal Society of Medicine. — 1992. — 85. — S. 605-608.</w:t>
      </w:r>
    </w:p>
    <w:p w:rsidR="00AE0763" w:rsidRDefault="00912C9B" w:rsidP="00052B12">
      <w:pPr>
        <w:numPr>
          <w:ilvl w:val="0"/>
          <w:numId w:val="1"/>
        </w:numPr>
        <w:pBdr>
          <w:top w:val="nil"/>
          <w:left w:val="nil"/>
          <w:bottom w:val="nil"/>
          <w:right w:val="nil"/>
          <w:between w:val="nil"/>
        </w:pBdr>
        <w:tabs>
          <w:tab w:val="left" w:pos="916"/>
        </w:tabs>
        <w:spacing w:line="360" w:lineRule="auto"/>
        <w:ind w:left="0" w:firstLine="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Freudenberger H.J. Staff burn-out // Journal of Social Issues. — 1974. — 30. — S. 159-166.</w:t>
      </w:r>
    </w:p>
    <w:p w:rsidR="00AE0763" w:rsidRDefault="00912C9B" w:rsidP="00052B12">
      <w:pPr>
        <w:numPr>
          <w:ilvl w:val="0"/>
          <w:numId w:val="1"/>
        </w:numPr>
        <w:pBdr>
          <w:top w:val="nil"/>
          <w:left w:val="nil"/>
          <w:bottom w:val="nil"/>
          <w:right w:val="nil"/>
          <w:between w:val="nil"/>
        </w:pBdr>
        <w:tabs>
          <w:tab w:val="left" w:pos="916"/>
        </w:tabs>
        <w:spacing w:line="360" w:lineRule="auto"/>
        <w:ind w:left="0" w:firstLine="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Kirkcaldy B.D., Siefen, G. Occupational stress among mental health professionals: the relationship between work and recreational pursuits // Social Psychiatry and Psychiatric Epidemiology. — 1991. — 26. — S. 238-244.</w:t>
      </w:r>
    </w:p>
    <w:p w:rsidR="00AE0763" w:rsidRDefault="00912C9B" w:rsidP="00052B12">
      <w:pPr>
        <w:numPr>
          <w:ilvl w:val="0"/>
          <w:numId w:val="1"/>
        </w:numPr>
        <w:pBdr>
          <w:top w:val="nil"/>
          <w:left w:val="nil"/>
          <w:bottom w:val="nil"/>
          <w:right w:val="nil"/>
          <w:between w:val="nil"/>
        </w:pBdr>
        <w:tabs>
          <w:tab w:val="left" w:pos="916"/>
        </w:tabs>
        <w:spacing w:line="360" w:lineRule="auto"/>
        <w:ind w:left="0" w:firstLine="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Quick J.D., Nelson D.L., Matuszek P.A.C. et al. Social support, secure attachments, and health. In Handbook of Stress, Medicine and Health (ed. C. Cooper). — London: CRC Press, 1996. — P. 269-287.</w:t>
      </w:r>
    </w:p>
    <w:p w:rsidR="00AE0763" w:rsidRDefault="00912C9B"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Allen I. Doctors and their Careers. — London: Policy Studies Institute, 1992.</w:t>
      </w:r>
    </w:p>
    <w:p w:rsidR="00AE0763" w:rsidRDefault="00912C9B" w:rsidP="00052B12">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Ryrak, V &amp; Gordiychuk, S &amp; Shatylo, V &amp; Goray, O &amp; Poplavska, S. (2023). Psychological aspects of the work of nurses. Bulletin of social hygiene and health care organizations of Ukraine. 48-52. 10.11603/1681-2786.2023.1.13708.</w:t>
      </w:r>
    </w:p>
    <w:p w:rsidR="00AE0763" w:rsidRDefault="00AE0763">
      <w:pPr>
        <w:tabs>
          <w:tab w:val="left" w:pos="916"/>
        </w:tabs>
        <w:spacing w:line="360" w:lineRule="auto"/>
        <w:jc w:val="both"/>
        <w:rPr>
          <w:rFonts w:ascii="Times New Roman" w:eastAsia="Times New Roman" w:hAnsi="Times New Roman" w:cs="Times New Roman"/>
          <w:sz w:val="28"/>
          <w:szCs w:val="28"/>
        </w:rPr>
      </w:pPr>
    </w:p>
    <w:sectPr w:rsidR="00AE0763">
      <w:headerReference w:type="default" r:id="rId39"/>
      <w:pgSz w:w="11906" w:h="16838"/>
      <w:pgMar w:top="851" w:right="851" w:bottom="851" w:left="1418"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71AF" w:rsidRDefault="00DD71AF">
      <w:r>
        <w:separator/>
      </w:r>
    </w:p>
  </w:endnote>
  <w:endnote w:type="continuationSeparator" w:id="0">
    <w:p w:rsidR="00DD71AF" w:rsidRDefault="00DD71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71AF" w:rsidRDefault="00DD71AF">
      <w:r>
        <w:separator/>
      </w:r>
    </w:p>
  </w:footnote>
  <w:footnote w:type="continuationSeparator" w:id="0">
    <w:p w:rsidR="00DD71AF" w:rsidRDefault="00DD71A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0763" w:rsidRDefault="00912C9B">
    <w:pPr>
      <w:pBdr>
        <w:top w:val="nil"/>
        <w:left w:val="nil"/>
        <w:bottom w:val="nil"/>
        <w:right w:val="nil"/>
        <w:between w:val="nil"/>
      </w:pBdr>
      <w:tabs>
        <w:tab w:val="center" w:pos="4819"/>
        <w:tab w:val="right" w:pos="9639"/>
      </w:tabs>
      <w:jc w:val="right"/>
      <w:rPr>
        <w:color w:val="000000"/>
      </w:rPr>
    </w:pPr>
    <w:r>
      <w:rPr>
        <w:color w:val="000000"/>
      </w:rPr>
      <w:fldChar w:fldCharType="begin"/>
    </w:r>
    <w:r>
      <w:rPr>
        <w:color w:val="000000"/>
      </w:rPr>
      <w:instrText>PAGE</w:instrText>
    </w:r>
    <w:r>
      <w:rPr>
        <w:color w:val="000000"/>
      </w:rPr>
      <w:fldChar w:fldCharType="separate"/>
    </w:r>
    <w:r w:rsidR="00F15B53">
      <w:rPr>
        <w:noProof/>
        <w:color w:val="000000"/>
      </w:rPr>
      <w:t>21</w:t>
    </w:r>
    <w:r>
      <w:rPr>
        <w:color w:val="000000"/>
      </w:rP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385756"/>
    <w:multiLevelType w:val="multilevel"/>
    <w:tmpl w:val="ADA62B84"/>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 w15:restartNumberingAfterBreak="0">
    <w:nsid w:val="25667CEB"/>
    <w:multiLevelType w:val="multilevel"/>
    <w:tmpl w:val="293685A0"/>
    <w:lvl w:ilvl="0">
      <w:start w:val="1"/>
      <w:numFmt w:val="decimal"/>
      <w:lvlText w:val="%1."/>
      <w:lvlJc w:val="left"/>
      <w:pPr>
        <w:ind w:left="1778" w:hanging="360"/>
      </w:pPr>
    </w:lvl>
    <w:lvl w:ilvl="1">
      <w:start w:val="1"/>
      <w:numFmt w:val="lowerLetter"/>
      <w:lvlText w:val="%2."/>
      <w:lvlJc w:val="left"/>
      <w:pPr>
        <w:ind w:left="2498" w:hanging="360"/>
      </w:pPr>
    </w:lvl>
    <w:lvl w:ilvl="2">
      <w:start w:val="1"/>
      <w:numFmt w:val="lowerRoman"/>
      <w:lvlText w:val="%3."/>
      <w:lvlJc w:val="right"/>
      <w:pPr>
        <w:ind w:left="3218" w:hanging="180"/>
      </w:pPr>
    </w:lvl>
    <w:lvl w:ilvl="3">
      <w:start w:val="1"/>
      <w:numFmt w:val="decimal"/>
      <w:lvlText w:val="%4."/>
      <w:lvlJc w:val="left"/>
      <w:pPr>
        <w:ind w:left="3938" w:hanging="360"/>
      </w:pPr>
    </w:lvl>
    <w:lvl w:ilvl="4">
      <w:start w:val="1"/>
      <w:numFmt w:val="lowerLetter"/>
      <w:lvlText w:val="%5."/>
      <w:lvlJc w:val="left"/>
      <w:pPr>
        <w:ind w:left="4658" w:hanging="360"/>
      </w:pPr>
    </w:lvl>
    <w:lvl w:ilvl="5">
      <w:start w:val="1"/>
      <w:numFmt w:val="lowerRoman"/>
      <w:lvlText w:val="%6."/>
      <w:lvlJc w:val="right"/>
      <w:pPr>
        <w:ind w:left="5378" w:hanging="180"/>
      </w:pPr>
    </w:lvl>
    <w:lvl w:ilvl="6">
      <w:start w:val="1"/>
      <w:numFmt w:val="decimal"/>
      <w:lvlText w:val="%7."/>
      <w:lvlJc w:val="left"/>
      <w:pPr>
        <w:ind w:left="6098" w:hanging="360"/>
      </w:pPr>
    </w:lvl>
    <w:lvl w:ilvl="7">
      <w:start w:val="1"/>
      <w:numFmt w:val="lowerLetter"/>
      <w:lvlText w:val="%8."/>
      <w:lvlJc w:val="left"/>
      <w:pPr>
        <w:ind w:left="6818" w:hanging="360"/>
      </w:pPr>
    </w:lvl>
    <w:lvl w:ilvl="8">
      <w:start w:val="1"/>
      <w:numFmt w:val="lowerRoman"/>
      <w:lvlText w:val="%9."/>
      <w:lvlJc w:val="right"/>
      <w:pPr>
        <w:ind w:left="7538" w:hanging="180"/>
      </w:pPr>
    </w:lvl>
  </w:abstractNum>
  <w:abstractNum w:abstractNumId="2" w15:restartNumberingAfterBreak="0">
    <w:nsid w:val="26C92457"/>
    <w:multiLevelType w:val="multilevel"/>
    <w:tmpl w:val="A5CE71A2"/>
    <w:lvl w:ilvl="0">
      <w:start w:val="1"/>
      <w:numFmt w:val="decimal"/>
      <w:lvlText w:val="%1."/>
      <w:lvlJc w:val="left"/>
      <w:pPr>
        <w:ind w:left="1636" w:hanging="360"/>
      </w:pPr>
    </w:lvl>
    <w:lvl w:ilvl="1">
      <w:start w:val="1"/>
      <w:numFmt w:val="lowerLetter"/>
      <w:lvlText w:val="%2."/>
      <w:lvlJc w:val="left"/>
      <w:pPr>
        <w:ind w:left="2356" w:hanging="360"/>
      </w:pPr>
    </w:lvl>
    <w:lvl w:ilvl="2">
      <w:start w:val="1"/>
      <w:numFmt w:val="lowerRoman"/>
      <w:lvlText w:val="%3."/>
      <w:lvlJc w:val="right"/>
      <w:pPr>
        <w:ind w:left="3076" w:hanging="180"/>
      </w:pPr>
    </w:lvl>
    <w:lvl w:ilvl="3">
      <w:start w:val="1"/>
      <w:numFmt w:val="decimal"/>
      <w:lvlText w:val="%4."/>
      <w:lvlJc w:val="left"/>
      <w:pPr>
        <w:ind w:left="3796" w:hanging="360"/>
      </w:pPr>
    </w:lvl>
    <w:lvl w:ilvl="4">
      <w:start w:val="1"/>
      <w:numFmt w:val="lowerLetter"/>
      <w:lvlText w:val="%5."/>
      <w:lvlJc w:val="left"/>
      <w:pPr>
        <w:ind w:left="4516" w:hanging="360"/>
      </w:pPr>
    </w:lvl>
    <w:lvl w:ilvl="5">
      <w:start w:val="1"/>
      <w:numFmt w:val="lowerRoman"/>
      <w:lvlText w:val="%6."/>
      <w:lvlJc w:val="right"/>
      <w:pPr>
        <w:ind w:left="5236" w:hanging="180"/>
      </w:pPr>
    </w:lvl>
    <w:lvl w:ilvl="6">
      <w:start w:val="1"/>
      <w:numFmt w:val="decimal"/>
      <w:lvlText w:val="%7."/>
      <w:lvlJc w:val="left"/>
      <w:pPr>
        <w:ind w:left="5956" w:hanging="360"/>
      </w:pPr>
    </w:lvl>
    <w:lvl w:ilvl="7">
      <w:start w:val="1"/>
      <w:numFmt w:val="lowerLetter"/>
      <w:lvlText w:val="%8."/>
      <w:lvlJc w:val="left"/>
      <w:pPr>
        <w:ind w:left="6676" w:hanging="360"/>
      </w:pPr>
    </w:lvl>
    <w:lvl w:ilvl="8">
      <w:start w:val="1"/>
      <w:numFmt w:val="lowerRoman"/>
      <w:lvlText w:val="%9."/>
      <w:lvlJc w:val="right"/>
      <w:pPr>
        <w:ind w:left="7396" w:hanging="180"/>
      </w:pPr>
    </w:lvl>
  </w:abstractNum>
  <w:abstractNum w:abstractNumId="3" w15:restartNumberingAfterBreak="0">
    <w:nsid w:val="600D21DD"/>
    <w:multiLevelType w:val="multilevel"/>
    <w:tmpl w:val="B5448E00"/>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4" w15:restartNumberingAfterBreak="0">
    <w:nsid w:val="6B0F6F94"/>
    <w:multiLevelType w:val="multilevel"/>
    <w:tmpl w:val="B6E0414C"/>
    <w:lvl w:ilvl="0">
      <w:start w:val="1"/>
      <w:numFmt w:val="decimal"/>
      <w:lvlText w:val="%1."/>
      <w:lvlJc w:val="left"/>
      <w:pPr>
        <w:ind w:left="107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74146604"/>
    <w:multiLevelType w:val="multilevel"/>
    <w:tmpl w:val="F544DE82"/>
    <w:lvl w:ilvl="0">
      <w:start w:val="1"/>
      <w:numFmt w:val="decimal"/>
      <w:lvlText w:val="%1."/>
      <w:lvlJc w:val="left"/>
      <w:pPr>
        <w:ind w:left="1778" w:hanging="360"/>
      </w:pPr>
    </w:lvl>
    <w:lvl w:ilvl="1">
      <w:start w:val="1"/>
      <w:numFmt w:val="lowerLetter"/>
      <w:lvlText w:val="%2."/>
      <w:lvlJc w:val="left"/>
      <w:pPr>
        <w:ind w:left="2498" w:hanging="360"/>
      </w:pPr>
    </w:lvl>
    <w:lvl w:ilvl="2">
      <w:start w:val="1"/>
      <w:numFmt w:val="lowerRoman"/>
      <w:lvlText w:val="%3."/>
      <w:lvlJc w:val="right"/>
      <w:pPr>
        <w:ind w:left="3218" w:hanging="180"/>
      </w:pPr>
    </w:lvl>
    <w:lvl w:ilvl="3">
      <w:start w:val="1"/>
      <w:numFmt w:val="decimal"/>
      <w:lvlText w:val="%4."/>
      <w:lvlJc w:val="left"/>
      <w:pPr>
        <w:ind w:left="3938" w:hanging="360"/>
      </w:pPr>
    </w:lvl>
    <w:lvl w:ilvl="4">
      <w:start w:val="1"/>
      <w:numFmt w:val="lowerLetter"/>
      <w:lvlText w:val="%5."/>
      <w:lvlJc w:val="left"/>
      <w:pPr>
        <w:ind w:left="4658" w:hanging="360"/>
      </w:pPr>
    </w:lvl>
    <w:lvl w:ilvl="5">
      <w:start w:val="1"/>
      <w:numFmt w:val="lowerRoman"/>
      <w:lvlText w:val="%6."/>
      <w:lvlJc w:val="right"/>
      <w:pPr>
        <w:ind w:left="5378" w:hanging="180"/>
      </w:pPr>
    </w:lvl>
    <w:lvl w:ilvl="6">
      <w:start w:val="1"/>
      <w:numFmt w:val="decimal"/>
      <w:lvlText w:val="%7."/>
      <w:lvlJc w:val="left"/>
      <w:pPr>
        <w:ind w:left="6098" w:hanging="360"/>
      </w:pPr>
    </w:lvl>
    <w:lvl w:ilvl="7">
      <w:start w:val="1"/>
      <w:numFmt w:val="lowerLetter"/>
      <w:lvlText w:val="%8."/>
      <w:lvlJc w:val="left"/>
      <w:pPr>
        <w:ind w:left="6818" w:hanging="360"/>
      </w:pPr>
    </w:lvl>
    <w:lvl w:ilvl="8">
      <w:start w:val="1"/>
      <w:numFmt w:val="lowerRoman"/>
      <w:lvlText w:val="%9."/>
      <w:lvlJc w:val="right"/>
      <w:pPr>
        <w:ind w:left="7538" w:hanging="180"/>
      </w:pPr>
    </w:lvl>
  </w:abstractNum>
  <w:abstractNum w:abstractNumId="6" w15:restartNumberingAfterBreak="0">
    <w:nsid w:val="752A2CFC"/>
    <w:multiLevelType w:val="multilevel"/>
    <w:tmpl w:val="0478DF54"/>
    <w:lvl w:ilvl="0">
      <w:start w:val="1"/>
      <w:numFmt w:val="decimal"/>
      <w:lvlText w:val="%1."/>
      <w:lvlJc w:val="left"/>
      <w:pPr>
        <w:ind w:left="1636" w:hanging="360"/>
      </w:pPr>
    </w:lvl>
    <w:lvl w:ilvl="1">
      <w:start w:val="1"/>
      <w:numFmt w:val="lowerLetter"/>
      <w:lvlText w:val="%2."/>
      <w:lvlJc w:val="left"/>
      <w:pPr>
        <w:ind w:left="2356" w:hanging="360"/>
      </w:pPr>
    </w:lvl>
    <w:lvl w:ilvl="2">
      <w:start w:val="1"/>
      <w:numFmt w:val="lowerRoman"/>
      <w:lvlText w:val="%3."/>
      <w:lvlJc w:val="right"/>
      <w:pPr>
        <w:ind w:left="3076" w:hanging="180"/>
      </w:pPr>
    </w:lvl>
    <w:lvl w:ilvl="3">
      <w:start w:val="1"/>
      <w:numFmt w:val="decimal"/>
      <w:lvlText w:val="%4."/>
      <w:lvlJc w:val="left"/>
      <w:pPr>
        <w:ind w:left="3796" w:hanging="360"/>
      </w:pPr>
    </w:lvl>
    <w:lvl w:ilvl="4">
      <w:start w:val="1"/>
      <w:numFmt w:val="lowerLetter"/>
      <w:lvlText w:val="%5."/>
      <w:lvlJc w:val="left"/>
      <w:pPr>
        <w:ind w:left="4516" w:hanging="360"/>
      </w:pPr>
    </w:lvl>
    <w:lvl w:ilvl="5">
      <w:start w:val="1"/>
      <w:numFmt w:val="lowerRoman"/>
      <w:lvlText w:val="%6."/>
      <w:lvlJc w:val="right"/>
      <w:pPr>
        <w:ind w:left="5236" w:hanging="180"/>
      </w:pPr>
    </w:lvl>
    <w:lvl w:ilvl="6">
      <w:start w:val="1"/>
      <w:numFmt w:val="decimal"/>
      <w:lvlText w:val="%7."/>
      <w:lvlJc w:val="left"/>
      <w:pPr>
        <w:ind w:left="5956" w:hanging="360"/>
      </w:pPr>
    </w:lvl>
    <w:lvl w:ilvl="7">
      <w:start w:val="1"/>
      <w:numFmt w:val="lowerLetter"/>
      <w:lvlText w:val="%8."/>
      <w:lvlJc w:val="left"/>
      <w:pPr>
        <w:ind w:left="6676" w:hanging="360"/>
      </w:pPr>
    </w:lvl>
    <w:lvl w:ilvl="8">
      <w:start w:val="1"/>
      <w:numFmt w:val="lowerRoman"/>
      <w:lvlText w:val="%9."/>
      <w:lvlJc w:val="right"/>
      <w:pPr>
        <w:ind w:left="7396" w:hanging="180"/>
      </w:pPr>
    </w:lvl>
  </w:abstractNum>
  <w:num w:numId="1">
    <w:abstractNumId w:val="4"/>
  </w:num>
  <w:num w:numId="2">
    <w:abstractNumId w:val="1"/>
  </w:num>
  <w:num w:numId="3">
    <w:abstractNumId w:val="5"/>
  </w:num>
  <w:num w:numId="4">
    <w:abstractNumId w:val="3"/>
  </w:num>
  <w:num w:numId="5">
    <w:abstractNumId w:val="0"/>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0763"/>
    <w:rsid w:val="00052B12"/>
    <w:rsid w:val="000C5441"/>
    <w:rsid w:val="002C4BEF"/>
    <w:rsid w:val="004807CA"/>
    <w:rsid w:val="00551199"/>
    <w:rsid w:val="00912C9B"/>
    <w:rsid w:val="00AE0763"/>
    <w:rsid w:val="00BD2966"/>
    <w:rsid w:val="00DD71AF"/>
    <w:rsid w:val="00F15B5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9F9D332-A7E7-4441-B5BD-6D50CE252C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4"/>
        <w:szCs w:val="24"/>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spacing w:before="240" w:after="60"/>
      <w:outlineLvl w:val="0"/>
    </w:pPr>
    <w:rPr>
      <w:b/>
      <w:sz w:val="32"/>
      <w:szCs w:val="32"/>
    </w:rPr>
  </w:style>
  <w:style w:type="paragraph" w:styleId="2">
    <w:name w:val="heading 2"/>
    <w:basedOn w:val="a"/>
    <w:next w:val="a"/>
    <w:pPr>
      <w:keepNext/>
      <w:spacing w:before="240" w:after="60"/>
      <w:outlineLvl w:val="1"/>
    </w:pPr>
    <w:rPr>
      <w:b/>
      <w:i/>
      <w:sz w:val="28"/>
      <w:szCs w:val="28"/>
    </w:rPr>
  </w:style>
  <w:style w:type="paragraph" w:styleId="3">
    <w:name w:val="heading 3"/>
    <w:basedOn w:val="a"/>
    <w:next w:val="a"/>
    <w:pPr>
      <w:keepNext/>
      <w:spacing w:before="240" w:after="60"/>
      <w:outlineLvl w:val="2"/>
    </w:pPr>
    <w:rPr>
      <w:b/>
      <w:sz w:val="26"/>
      <w:szCs w:val="26"/>
    </w:rPr>
  </w:style>
  <w:style w:type="paragraph" w:styleId="4">
    <w:name w:val="heading 4"/>
    <w:basedOn w:val="a"/>
    <w:next w:val="a"/>
    <w:pPr>
      <w:keepNext/>
      <w:spacing w:before="240" w:after="60"/>
      <w:outlineLvl w:val="3"/>
    </w:pPr>
    <w:rPr>
      <w:b/>
      <w:sz w:val="28"/>
      <w:szCs w:val="28"/>
    </w:rPr>
  </w:style>
  <w:style w:type="paragraph" w:styleId="5">
    <w:name w:val="heading 5"/>
    <w:basedOn w:val="a"/>
    <w:next w:val="a"/>
    <w:pPr>
      <w:spacing w:before="240" w:after="60"/>
      <w:outlineLvl w:val="4"/>
    </w:pPr>
    <w:rPr>
      <w:b/>
      <w:i/>
      <w:sz w:val="26"/>
      <w:szCs w:val="26"/>
    </w:rPr>
  </w:style>
  <w:style w:type="paragraph" w:styleId="6">
    <w:name w:val="heading 6"/>
    <w:basedOn w:val="a"/>
    <w:next w:val="a"/>
    <w:pPr>
      <w:spacing w:before="240" w:after="60"/>
      <w:outlineLvl w:val="5"/>
    </w:pPr>
    <w:rPr>
      <w:b/>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spacing w:before="240" w:after="60"/>
      <w:jc w:val="center"/>
    </w:pPr>
    <w:rPr>
      <w:b/>
      <w:sz w:val="32"/>
      <w:szCs w:val="32"/>
    </w:rPr>
  </w:style>
  <w:style w:type="paragraph" w:styleId="a4">
    <w:name w:val="Subtitle"/>
    <w:basedOn w:val="a"/>
    <w:next w:val="a"/>
    <w:pPr>
      <w:spacing w:after="60"/>
      <w:jc w:val="center"/>
    </w:pPr>
  </w:style>
  <w:style w:type="table" w:customStyle="1" w:styleId="a5">
    <w:basedOn w:val="TableNormal"/>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6">
    <w:basedOn w:val="TableNormal"/>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7">
    <w:basedOn w:val="TableNormal"/>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8">
    <w:basedOn w:val="TableNormal"/>
    <w:rPr>
      <w:rFonts w:ascii="Times New Roman" w:eastAsia="Times New Roman" w:hAnsi="Times New Roman" w:cs="Times New Roman"/>
      <w:sz w:val="20"/>
      <w:szCs w:val="20"/>
    </w:rPr>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eader" Target="header1.xml"/><Relationship Id="rId21" Type="http://schemas.openxmlformats.org/officeDocument/2006/relationships/image" Target="media/image14.png"/><Relationship Id="rId34" Type="http://schemas.openxmlformats.org/officeDocument/2006/relationships/hyperlink" Target="https://pubmed.ncbi.nlm.nih.gov/34831790/" TargetMode="Externa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s://doi.org/10.1016/j.ijnurstu.2021.104099" TargetMode="External"/><Relationship Id="rId37" Type="http://schemas.openxmlformats.org/officeDocument/2006/relationships/hyperlink" Target="https://pubmed.ncbi.nlm.nih.gov/36472564/" TargetMode="Externa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yperlink" Target="https://pubmed.ncbi.nlm.nih.gov/38835036/"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hyperlink" Target="https://pubmed.ncbi.nlm.nih.gov/38346886/" TargetMode="External"/><Relationship Id="rId8" Type="http://schemas.openxmlformats.org/officeDocument/2006/relationships/chart" Target="charts/chart1.xml"/><Relationship Id="rId3" Type="http://schemas.openxmlformats.org/officeDocument/2006/relationships/settings" Target="setting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s://pubmed.ncbi.nlm.nih.gov/35113585/" TargetMode="External"/><Relationship Id="rId38" Type="http://schemas.openxmlformats.org/officeDocument/2006/relationships/hyperlink" Target="https://pubmed.ncbi.nlm.nih.gov/36931567/"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doughnutChart>
        <c:varyColors val="1"/>
        <c:ser>
          <c:idx val="0"/>
          <c:order val="0"/>
          <c:tx>
            <c:strRef>
              <c:f>Лист1!$B$1</c:f>
              <c:strCache>
                <c:ptCount val="1"/>
                <c:pt idx="0">
                  <c:v>Number</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3C4-4584-AFB4-E1786611AF5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3C4-4584-AFB4-E1786611AF50}"/>
              </c:ext>
            </c:extLst>
          </c:dPt>
          <c:cat>
            <c:strRef>
              <c:f>Лист1!$A$2:$A$3</c:f>
              <c:strCache>
                <c:ptCount val="2"/>
                <c:pt idx="0">
                  <c:v>married</c:v>
                </c:pt>
                <c:pt idx="1">
                  <c:v>single</c:v>
                </c:pt>
              </c:strCache>
            </c:strRef>
          </c:cat>
          <c:val>
            <c:numRef>
              <c:f>Лист1!$B$2:$B$3</c:f>
              <c:numCache>
                <c:formatCode>General</c:formatCode>
                <c:ptCount val="2"/>
                <c:pt idx="0">
                  <c:v>42</c:v>
                </c:pt>
                <c:pt idx="1">
                  <c:v>44</c:v>
                </c:pt>
              </c:numCache>
            </c:numRef>
          </c:val>
          <c:extLst>
            <c:ext xmlns:c16="http://schemas.microsoft.com/office/drawing/2014/chart" uri="{C3380CC4-5D6E-409C-BE32-E72D297353CC}">
              <c16:uniqueId val="{00000000-278D-48B9-9C52-5D8D44415CAE}"/>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62</Pages>
  <Words>54775</Words>
  <Characters>31222</Characters>
  <Application>Microsoft Office Word</Application>
  <DocSecurity>0</DocSecurity>
  <Lines>260</Lines>
  <Paragraphs>171</Paragraphs>
  <ScaleCrop>false</ScaleCrop>
  <Company/>
  <LinksUpToDate>false</LinksUpToDate>
  <CharactersWithSpaces>85826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Надія Рега</cp:lastModifiedBy>
  <cp:revision>8</cp:revision>
  <dcterms:created xsi:type="dcterms:W3CDTF">2025-05-22T15:39:00Z</dcterms:created>
  <dcterms:modified xsi:type="dcterms:W3CDTF">2025-06-02T06:22:00Z</dcterms:modified>
</cp:coreProperties>
</file>