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6481" w:rsidRPr="00384BA4" w:rsidRDefault="00356481" w:rsidP="00356481">
      <w:pPr>
        <w:spacing w:line="360" w:lineRule="auto"/>
        <w:jc w:val="center"/>
        <w:rPr>
          <w:b/>
          <w:color w:val="000000" w:themeColor="text1"/>
          <w:sz w:val="28"/>
          <w:szCs w:val="28"/>
        </w:rPr>
      </w:pPr>
      <w:r w:rsidRPr="00384BA4">
        <w:rPr>
          <w:b/>
          <w:color w:val="000000" w:themeColor="text1"/>
          <w:sz w:val="28"/>
          <w:szCs w:val="28"/>
        </w:rPr>
        <w:t>MINISTRY OF HEALTH OF UKRAINE</w:t>
      </w:r>
    </w:p>
    <w:p w:rsidR="00356481" w:rsidRPr="00384BA4" w:rsidRDefault="00356481" w:rsidP="00356481">
      <w:pPr>
        <w:spacing w:line="360" w:lineRule="auto"/>
        <w:jc w:val="center"/>
        <w:rPr>
          <w:b/>
          <w:color w:val="000000" w:themeColor="text1"/>
          <w:sz w:val="28"/>
          <w:szCs w:val="28"/>
        </w:rPr>
      </w:pPr>
      <w:r w:rsidRPr="00384BA4">
        <w:rPr>
          <w:b/>
          <w:color w:val="000000" w:themeColor="text1"/>
          <w:sz w:val="28"/>
          <w:szCs w:val="28"/>
        </w:rPr>
        <w:t>I. HORBACHEVSKY TERNOPIL NATIONAL MEDICAL UNIVERSITY OF THE MINISTRY OF HEALTH OF UKRAINE</w:t>
      </w:r>
    </w:p>
    <w:p w:rsidR="00356481" w:rsidRPr="00384BA4" w:rsidRDefault="00356481" w:rsidP="00356481">
      <w:pPr>
        <w:spacing w:line="360" w:lineRule="auto"/>
        <w:jc w:val="center"/>
        <w:rPr>
          <w:b/>
          <w:color w:val="000000" w:themeColor="text1"/>
          <w:sz w:val="28"/>
          <w:szCs w:val="28"/>
        </w:rPr>
      </w:pPr>
    </w:p>
    <w:p w:rsidR="00356481" w:rsidRPr="00384BA4" w:rsidRDefault="00356481" w:rsidP="00356481">
      <w:pPr>
        <w:spacing w:line="360" w:lineRule="auto"/>
        <w:jc w:val="right"/>
        <w:rPr>
          <w:b/>
          <w:color w:val="000000" w:themeColor="text1"/>
          <w:sz w:val="28"/>
          <w:szCs w:val="28"/>
        </w:rPr>
      </w:pPr>
      <w:r w:rsidRPr="00384BA4">
        <w:rPr>
          <w:b/>
          <w:color w:val="000000" w:themeColor="text1"/>
          <w:sz w:val="28"/>
          <w:szCs w:val="28"/>
        </w:rPr>
        <w:t xml:space="preserve"> Manuscript copyright</w:t>
      </w:r>
    </w:p>
    <w:p w:rsidR="00356481" w:rsidRPr="00384BA4" w:rsidRDefault="00356481" w:rsidP="00356481">
      <w:pPr>
        <w:spacing w:line="360" w:lineRule="auto"/>
        <w:jc w:val="right"/>
        <w:rPr>
          <w:b/>
          <w:color w:val="000000" w:themeColor="text1"/>
          <w:sz w:val="28"/>
          <w:szCs w:val="28"/>
          <w:lang w:val="en-US"/>
        </w:rPr>
      </w:pPr>
      <w:r w:rsidRPr="00384BA4">
        <w:rPr>
          <w:b/>
          <w:color w:val="000000" w:themeColor="text1"/>
          <w:sz w:val="28"/>
          <w:szCs w:val="28"/>
          <w:lang w:val="en-US"/>
        </w:rPr>
        <w:t>UDC</w:t>
      </w:r>
    </w:p>
    <w:p w:rsidR="00356481" w:rsidRPr="00384BA4" w:rsidRDefault="00356481" w:rsidP="00356481">
      <w:pPr>
        <w:spacing w:line="360" w:lineRule="auto"/>
        <w:rPr>
          <w:b/>
          <w:color w:val="000000" w:themeColor="text1"/>
          <w:sz w:val="28"/>
          <w:szCs w:val="28"/>
          <w:lang w:val="en-US"/>
        </w:rPr>
      </w:pPr>
    </w:p>
    <w:p w:rsidR="00356481" w:rsidRPr="00356481" w:rsidRDefault="001A4F16" w:rsidP="00356481">
      <w:pPr>
        <w:spacing w:line="360" w:lineRule="auto"/>
        <w:jc w:val="center"/>
        <w:rPr>
          <w:b/>
          <w:color w:val="000000" w:themeColor="text1"/>
          <w:sz w:val="28"/>
          <w:szCs w:val="28"/>
          <w:lang w:val="en-US"/>
        </w:rPr>
      </w:pPr>
      <w:proofErr w:type="spellStart"/>
      <w:r w:rsidRPr="001A4F16">
        <w:rPr>
          <w:b/>
          <w:color w:val="000000" w:themeColor="text1"/>
          <w:sz w:val="28"/>
          <w:szCs w:val="28"/>
          <w:lang w:val="en-US"/>
        </w:rPr>
        <w:t>Gontshar</w:t>
      </w:r>
      <w:proofErr w:type="spellEnd"/>
      <w:r w:rsidRPr="001A4F16">
        <w:rPr>
          <w:b/>
          <w:color w:val="000000" w:themeColor="text1"/>
          <w:sz w:val="28"/>
          <w:szCs w:val="28"/>
          <w:lang w:val="en-US"/>
        </w:rPr>
        <w:t xml:space="preserve"> </w:t>
      </w:r>
      <w:proofErr w:type="spellStart"/>
      <w:r w:rsidRPr="001A4F16">
        <w:rPr>
          <w:b/>
          <w:color w:val="000000" w:themeColor="text1"/>
          <w:sz w:val="28"/>
          <w:szCs w:val="28"/>
          <w:lang w:val="en-US"/>
        </w:rPr>
        <w:t>Aliaksandr</w:t>
      </w:r>
      <w:proofErr w:type="spellEnd"/>
    </w:p>
    <w:p w:rsidR="00356481" w:rsidRDefault="00356481" w:rsidP="00356481">
      <w:pPr>
        <w:spacing w:line="360" w:lineRule="auto"/>
        <w:jc w:val="center"/>
        <w:rPr>
          <w:b/>
          <w:color w:val="000000" w:themeColor="text1"/>
          <w:sz w:val="28"/>
          <w:szCs w:val="28"/>
        </w:rPr>
      </w:pPr>
      <w:r w:rsidRPr="00384BA4">
        <w:rPr>
          <w:b/>
          <w:color w:val="000000" w:themeColor="text1"/>
          <w:sz w:val="28"/>
          <w:szCs w:val="28"/>
        </w:rPr>
        <w:t>Master's Thesis</w:t>
      </w:r>
    </w:p>
    <w:p w:rsidR="00356481" w:rsidRPr="00384BA4" w:rsidRDefault="00356481" w:rsidP="00356481">
      <w:pPr>
        <w:spacing w:line="360" w:lineRule="auto"/>
        <w:jc w:val="center"/>
        <w:rPr>
          <w:b/>
          <w:color w:val="000000" w:themeColor="text1"/>
          <w:sz w:val="28"/>
          <w:szCs w:val="28"/>
        </w:rPr>
      </w:pPr>
    </w:p>
    <w:p w:rsidR="00356481" w:rsidRDefault="00356481" w:rsidP="00D05500">
      <w:pPr>
        <w:spacing w:before="100" w:beforeAutospacing="1" w:after="100" w:afterAutospacing="1" w:line="360" w:lineRule="auto"/>
        <w:jc w:val="center"/>
        <w:outlineLvl w:val="0"/>
        <w:rPr>
          <w:b/>
          <w:bCs/>
          <w:kern w:val="36"/>
          <w:sz w:val="28"/>
          <w:szCs w:val="28"/>
        </w:rPr>
      </w:pPr>
      <w:r w:rsidRPr="00356481">
        <w:rPr>
          <w:b/>
          <w:bCs/>
          <w:kern w:val="36"/>
          <w:sz w:val="28"/>
          <w:szCs w:val="28"/>
        </w:rPr>
        <w:t>THE ROLE OF NURSING EDUCATION IN ENHANCING MEDICATION ADHERENCE AMONG PATIENTS WITH CHRONIC INFLAMMATORY BOWEL DISEASES</w:t>
      </w:r>
    </w:p>
    <w:p w:rsidR="00356481" w:rsidRPr="0066225F" w:rsidRDefault="00356481" w:rsidP="00356481">
      <w:pPr>
        <w:spacing w:line="360" w:lineRule="auto"/>
        <w:jc w:val="center"/>
        <w:rPr>
          <w:b/>
          <w:color w:val="000000" w:themeColor="text1"/>
          <w:sz w:val="28"/>
          <w:szCs w:val="28"/>
          <w:lang w:eastAsia="uk-UA"/>
        </w:rPr>
      </w:pPr>
    </w:p>
    <w:p w:rsidR="00356481" w:rsidRPr="00384BA4" w:rsidRDefault="00356481" w:rsidP="00356481">
      <w:pPr>
        <w:spacing w:line="360" w:lineRule="auto"/>
        <w:jc w:val="center"/>
        <w:rPr>
          <w:color w:val="000000" w:themeColor="text1"/>
          <w:sz w:val="28"/>
          <w:szCs w:val="28"/>
        </w:rPr>
      </w:pPr>
      <w:r w:rsidRPr="00384BA4">
        <w:rPr>
          <w:color w:val="000000" w:themeColor="text1"/>
          <w:sz w:val="28"/>
          <w:szCs w:val="28"/>
        </w:rPr>
        <w:t xml:space="preserve">Master of Science in Nursing </w:t>
      </w:r>
    </w:p>
    <w:p w:rsidR="00356481" w:rsidRPr="00384BA4" w:rsidRDefault="00356481" w:rsidP="00356481">
      <w:pPr>
        <w:spacing w:line="360" w:lineRule="auto"/>
        <w:jc w:val="center"/>
        <w:rPr>
          <w:color w:val="000000" w:themeColor="text1"/>
          <w:sz w:val="28"/>
          <w:szCs w:val="28"/>
        </w:rPr>
      </w:pPr>
    </w:p>
    <w:p w:rsidR="00356481" w:rsidRPr="00384BA4" w:rsidRDefault="00356481" w:rsidP="00356481">
      <w:pPr>
        <w:spacing w:line="360" w:lineRule="auto"/>
        <w:rPr>
          <w:color w:val="000000" w:themeColor="text1"/>
          <w:sz w:val="28"/>
          <w:szCs w:val="28"/>
        </w:rPr>
      </w:pPr>
    </w:p>
    <w:p w:rsidR="00356481" w:rsidRPr="00384BA4" w:rsidRDefault="00356481" w:rsidP="00356481">
      <w:pPr>
        <w:spacing w:line="360" w:lineRule="auto"/>
        <w:jc w:val="right"/>
        <w:rPr>
          <w:color w:val="000000" w:themeColor="text1"/>
          <w:sz w:val="28"/>
          <w:szCs w:val="28"/>
        </w:rPr>
      </w:pPr>
      <w:r w:rsidRPr="00384BA4">
        <w:rPr>
          <w:color w:val="000000" w:themeColor="text1"/>
          <w:sz w:val="28"/>
          <w:szCs w:val="28"/>
        </w:rPr>
        <w:t xml:space="preserve">The Scientific Supervisor </w:t>
      </w:r>
    </w:p>
    <w:p w:rsidR="00356481" w:rsidRDefault="00356481" w:rsidP="00356481">
      <w:pPr>
        <w:spacing w:line="360" w:lineRule="auto"/>
        <w:jc w:val="right"/>
        <w:rPr>
          <w:color w:val="000000" w:themeColor="text1"/>
          <w:sz w:val="28"/>
          <w:szCs w:val="28"/>
        </w:rPr>
      </w:pPr>
      <w:r w:rsidRPr="00384BA4">
        <w:rPr>
          <w:color w:val="000000" w:themeColor="text1"/>
          <w:sz w:val="28"/>
          <w:szCs w:val="28"/>
        </w:rPr>
        <w:t xml:space="preserve">of the Thesis: </w:t>
      </w:r>
    </w:p>
    <w:p w:rsidR="00356481" w:rsidRPr="00384BA4" w:rsidRDefault="0017650E" w:rsidP="00356481">
      <w:pPr>
        <w:spacing w:line="360" w:lineRule="auto"/>
        <w:jc w:val="right"/>
        <w:rPr>
          <w:color w:val="000000" w:themeColor="text1"/>
          <w:sz w:val="28"/>
          <w:szCs w:val="28"/>
        </w:rPr>
      </w:pPr>
      <w:r>
        <w:rPr>
          <w:color w:val="000000" w:themeColor="text1"/>
          <w:sz w:val="28"/>
          <w:szCs w:val="28"/>
          <w:lang w:val="en-US"/>
        </w:rPr>
        <w:t>Olga Zarudna</w:t>
      </w:r>
      <w:bookmarkStart w:id="0" w:name="_GoBack"/>
      <w:bookmarkEnd w:id="0"/>
      <w:r w:rsidR="00356481">
        <w:rPr>
          <w:color w:val="000000" w:themeColor="text1"/>
          <w:sz w:val="28"/>
          <w:szCs w:val="28"/>
          <w:lang w:val="en-US"/>
        </w:rPr>
        <w:t xml:space="preserve">, </w:t>
      </w:r>
      <w:r w:rsidR="00356481" w:rsidRPr="00384BA4">
        <w:rPr>
          <w:color w:val="000000" w:themeColor="text1"/>
          <w:sz w:val="28"/>
          <w:szCs w:val="28"/>
        </w:rPr>
        <w:t>PhD, MD,</w:t>
      </w:r>
    </w:p>
    <w:p w:rsidR="00356481" w:rsidRPr="00384BA4" w:rsidRDefault="00356481" w:rsidP="00356481">
      <w:pPr>
        <w:spacing w:line="360" w:lineRule="auto"/>
        <w:jc w:val="right"/>
        <w:rPr>
          <w:color w:val="000000" w:themeColor="text1"/>
          <w:sz w:val="28"/>
          <w:szCs w:val="28"/>
        </w:rPr>
      </w:pPr>
      <w:r w:rsidRPr="00384BA4">
        <w:rPr>
          <w:color w:val="000000" w:themeColor="text1"/>
          <w:sz w:val="28"/>
          <w:szCs w:val="28"/>
        </w:rPr>
        <w:t xml:space="preserve">Department of Higher Nursing Education, </w:t>
      </w:r>
    </w:p>
    <w:p w:rsidR="00356481" w:rsidRPr="00384BA4" w:rsidRDefault="00356481" w:rsidP="00356481">
      <w:pPr>
        <w:spacing w:line="360" w:lineRule="auto"/>
        <w:jc w:val="right"/>
        <w:rPr>
          <w:color w:val="000000" w:themeColor="text1"/>
          <w:sz w:val="28"/>
          <w:szCs w:val="28"/>
        </w:rPr>
      </w:pPr>
      <w:r w:rsidRPr="00384BA4">
        <w:rPr>
          <w:color w:val="000000" w:themeColor="text1"/>
          <w:sz w:val="28"/>
          <w:szCs w:val="28"/>
        </w:rPr>
        <w:t xml:space="preserve">Patients` Care and Clinical Immunology </w:t>
      </w:r>
    </w:p>
    <w:p w:rsidR="00356481" w:rsidRPr="00384BA4" w:rsidRDefault="00356481" w:rsidP="00356481">
      <w:pPr>
        <w:pStyle w:val="a3"/>
        <w:numPr>
          <w:ilvl w:val="0"/>
          <w:numId w:val="1"/>
        </w:numPr>
        <w:spacing w:after="0" w:line="360" w:lineRule="auto"/>
        <w:jc w:val="right"/>
        <w:rPr>
          <w:color w:val="000000" w:themeColor="text1"/>
          <w:sz w:val="28"/>
          <w:szCs w:val="28"/>
        </w:rPr>
      </w:pPr>
      <w:r w:rsidRPr="00384BA4">
        <w:rPr>
          <w:color w:val="000000" w:themeColor="text1"/>
          <w:sz w:val="28"/>
          <w:szCs w:val="28"/>
        </w:rPr>
        <w:t>Horbachevsky Ternopil National Medical University</w:t>
      </w:r>
    </w:p>
    <w:p w:rsidR="00356481" w:rsidRDefault="00356481" w:rsidP="00356481">
      <w:pPr>
        <w:spacing w:line="360" w:lineRule="auto"/>
        <w:ind w:left="360"/>
        <w:jc w:val="right"/>
        <w:rPr>
          <w:color w:val="000000" w:themeColor="text1"/>
          <w:sz w:val="28"/>
          <w:szCs w:val="28"/>
        </w:rPr>
      </w:pPr>
      <w:r w:rsidRPr="00384BA4">
        <w:rPr>
          <w:color w:val="000000" w:themeColor="text1"/>
          <w:sz w:val="28"/>
          <w:szCs w:val="28"/>
        </w:rPr>
        <w:t xml:space="preserve"> of the Ministry of Health of Ukraine</w:t>
      </w:r>
    </w:p>
    <w:p w:rsidR="00356481" w:rsidRDefault="00356481" w:rsidP="00356481">
      <w:pPr>
        <w:spacing w:line="360" w:lineRule="auto"/>
        <w:ind w:left="360"/>
        <w:jc w:val="right"/>
        <w:rPr>
          <w:color w:val="000000" w:themeColor="text1"/>
          <w:sz w:val="28"/>
          <w:szCs w:val="28"/>
        </w:rPr>
      </w:pPr>
    </w:p>
    <w:p w:rsidR="00356481" w:rsidRPr="00384BA4" w:rsidRDefault="00356481" w:rsidP="003E371F">
      <w:pPr>
        <w:spacing w:line="360" w:lineRule="auto"/>
        <w:rPr>
          <w:color w:val="000000" w:themeColor="text1"/>
          <w:sz w:val="28"/>
          <w:szCs w:val="28"/>
        </w:rPr>
      </w:pPr>
    </w:p>
    <w:p w:rsidR="00356481" w:rsidRPr="0084651A" w:rsidRDefault="00356481" w:rsidP="004257B7">
      <w:pPr>
        <w:spacing w:before="100" w:beforeAutospacing="1" w:after="100" w:afterAutospacing="1"/>
        <w:jc w:val="center"/>
        <w:outlineLvl w:val="0"/>
        <w:rPr>
          <w:color w:val="000000" w:themeColor="text1"/>
          <w:sz w:val="28"/>
          <w:szCs w:val="28"/>
        </w:rPr>
      </w:pPr>
      <w:r w:rsidRPr="00384BA4">
        <w:rPr>
          <w:color w:val="000000" w:themeColor="text1"/>
          <w:sz w:val="28"/>
          <w:szCs w:val="28"/>
        </w:rPr>
        <w:t>Ternopil – 202</w:t>
      </w:r>
      <w:r>
        <w:rPr>
          <w:color w:val="000000" w:themeColor="text1"/>
          <w:sz w:val="28"/>
          <w:szCs w:val="28"/>
        </w:rPr>
        <w:t>5</w:t>
      </w:r>
      <w:r w:rsidR="004257B7">
        <w:rPr>
          <w:color w:val="000000" w:themeColor="text1"/>
          <w:sz w:val="28"/>
          <w:szCs w:val="28"/>
        </w:rPr>
        <w:br w:type="page"/>
      </w:r>
    </w:p>
    <w:p w:rsidR="00356481" w:rsidRDefault="00356481" w:rsidP="004257B7">
      <w:pPr>
        <w:spacing w:before="100" w:beforeAutospacing="1" w:after="100" w:afterAutospacing="1" w:line="360" w:lineRule="auto"/>
        <w:jc w:val="center"/>
        <w:outlineLvl w:val="0"/>
        <w:rPr>
          <w:b/>
          <w:bCs/>
          <w:kern w:val="36"/>
          <w:sz w:val="28"/>
          <w:szCs w:val="28"/>
        </w:rPr>
      </w:pPr>
      <w:r w:rsidRPr="00356481">
        <w:rPr>
          <w:b/>
          <w:bCs/>
          <w:kern w:val="36"/>
          <w:sz w:val="28"/>
          <w:szCs w:val="28"/>
        </w:rPr>
        <w:lastRenderedPageBreak/>
        <w:t>The Role of Nursing Education in Enhancing Medication Adherence Among Patients with Chronic Inflammatory Bowel Diseases</w:t>
      </w:r>
    </w:p>
    <w:p w:rsidR="00356481" w:rsidRDefault="00356481" w:rsidP="004257B7">
      <w:pPr>
        <w:spacing w:line="360" w:lineRule="auto"/>
        <w:jc w:val="both"/>
        <w:rPr>
          <w:color w:val="000000" w:themeColor="text1"/>
          <w:sz w:val="28"/>
          <w:szCs w:val="28"/>
        </w:rPr>
      </w:pPr>
      <w:r w:rsidRPr="00384BA4">
        <w:rPr>
          <w:color w:val="000000" w:themeColor="text1"/>
          <w:sz w:val="28"/>
          <w:szCs w:val="28"/>
          <w:lang w:val="en-US"/>
        </w:rPr>
        <w:t>The Scientific Supervisor:</w:t>
      </w:r>
      <w:r>
        <w:rPr>
          <w:color w:val="000000" w:themeColor="text1"/>
          <w:sz w:val="28"/>
          <w:szCs w:val="28"/>
          <w:lang w:val="en-US"/>
        </w:rPr>
        <w:t xml:space="preserve"> Oksana </w:t>
      </w:r>
      <w:proofErr w:type="spellStart"/>
      <w:r>
        <w:rPr>
          <w:color w:val="000000" w:themeColor="text1"/>
          <w:sz w:val="28"/>
          <w:szCs w:val="28"/>
          <w:lang w:val="en-US"/>
        </w:rPr>
        <w:t>Prokopchuk</w:t>
      </w:r>
      <w:proofErr w:type="spellEnd"/>
      <w:r w:rsidRPr="00384BA4">
        <w:rPr>
          <w:color w:val="000000" w:themeColor="text1"/>
          <w:sz w:val="28"/>
          <w:szCs w:val="28"/>
        </w:rPr>
        <w:t>, PhD, MD,</w:t>
      </w:r>
      <w:r w:rsidRPr="00384BA4">
        <w:rPr>
          <w:color w:val="000000" w:themeColor="text1"/>
          <w:sz w:val="28"/>
          <w:szCs w:val="28"/>
          <w:lang w:val="en-US"/>
        </w:rPr>
        <w:t xml:space="preserve"> </w:t>
      </w:r>
      <w:r w:rsidRPr="00384BA4">
        <w:rPr>
          <w:color w:val="000000" w:themeColor="text1"/>
          <w:sz w:val="28"/>
          <w:szCs w:val="28"/>
        </w:rPr>
        <w:t xml:space="preserve">Department of Higher Nursing Education, Patients` Care and Clinical Immunology </w:t>
      </w:r>
      <w:r w:rsidRPr="00384BA4">
        <w:rPr>
          <w:color w:val="000000" w:themeColor="text1"/>
          <w:sz w:val="28"/>
          <w:szCs w:val="28"/>
          <w:lang w:val="en-US"/>
        </w:rPr>
        <w:t>I.</w:t>
      </w:r>
      <w:r>
        <w:rPr>
          <w:color w:val="000000" w:themeColor="text1"/>
          <w:sz w:val="28"/>
          <w:szCs w:val="28"/>
          <w:lang w:val="en-US"/>
        </w:rPr>
        <w:t xml:space="preserve"> </w:t>
      </w:r>
      <w:r w:rsidRPr="00384BA4">
        <w:rPr>
          <w:color w:val="000000" w:themeColor="text1"/>
          <w:sz w:val="28"/>
          <w:szCs w:val="28"/>
        </w:rPr>
        <w:t>Horbachevsky Ternopil National Medical University</w:t>
      </w:r>
      <w:r w:rsidRPr="00384BA4">
        <w:rPr>
          <w:color w:val="000000" w:themeColor="text1"/>
          <w:sz w:val="28"/>
          <w:szCs w:val="28"/>
          <w:lang w:val="en-US"/>
        </w:rPr>
        <w:t xml:space="preserve"> </w:t>
      </w:r>
      <w:r w:rsidRPr="00384BA4">
        <w:rPr>
          <w:color w:val="000000" w:themeColor="text1"/>
          <w:sz w:val="28"/>
          <w:szCs w:val="28"/>
        </w:rPr>
        <w:t>of the Ministry of Health of Ukraine</w:t>
      </w:r>
    </w:p>
    <w:p w:rsidR="00356481" w:rsidRPr="00356481" w:rsidRDefault="00356481" w:rsidP="00356481">
      <w:pPr>
        <w:spacing w:before="100" w:beforeAutospacing="1" w:after="100" w:afterAutospacing="1" w:line="360" w:lineRule="auto"/>
        <w:jc w:val="both"/>
        <w:outlineLvl w:val="2"/>
        <w:rPr>
          <w:b/>
          <w:bCs/>
          <w:sz w:val="28"/>
          <w:szCs w:val="28"/>
        </w:rPr>
      </w:pPr>
      <w:r w:rsidRPr="00356481">
        <w:rPr>
          <w:b/>
          <w:bCs/>
          <w:sz w:val="28"/>
          <w:szCs w:val="28"/>
        </w:rPr>
        <w:t>Abstract</w:t>
      </w:r>
    </w:p>
    <w:p w:rsidR="00356481" w:rsidRPr="00356481" w:rsidRDefault="00356481" w:rsidP="005D166C">
      <w:pPr>
        <w:spacing w:before="100" w:beforeAutospacing="1" w:after="100" w:afterAutospacing="1" w:line="360" w:lineRule="auto"/>
        <w:ind w:firstLine="708"/>
        <w:jc w:val="both"/>
        <w:rPr>
          <w:sz w:val="28"/>
          <w:szCs w:val="28"/>
        </w:rPr>
      </w:pPr>
      <w:r w:rsidRPr="00356481">
        <w:rPr>
          <w:sz w:val="28"/>
          <w:szCs w:val="28"/>
        </w:rPr>
        <w:t>Chronic inflammatory bowel diseases (IBD), including Crohn's disease and ulcerative colitis, represent a group of lifelong relapsing-remitting gastrointestinal conditions that significantly impair patients' quality of life and demand complex, long-term treatment regimens. Despite the availability of advanced pharmacological therapies, non-adherence to treatment remains a persistent challenge, contributing to disease flares, hospitalizations, and increased healthcare costs. Among various contributing factors, lack of patient education and insufficient communication between healthcare providers and patients stand out as key barriers to sustained medication adherence. This master’s thesis explores the role of nursing-led educational interventions in improving medication adherence among patients with IBD and evaluates the effectiveness of structured nursing education in fostering treatment commitment and self-management.</w:t>
      </w:r>
    </w:p>
    <w:p w:rsidR="00356481" w:rsidRPr="00356481" w:rsidRDefault="00356481" w:rsidP="005D166C">
      <w:pPr>
        <w:spacing w:before="100" w:beforeAutospacing="1" w:after="100" w:afterAutospacing="1" w:line="360" w:lineRule="auto"/>
        <w:ind w:firstLine="708"/>
        <w:jc w:val="both"/>
        <w:rPr>
          <w:sz w:val="28"/>
          <w:szCs w:val="28"/>
        </w:rPr>
      </w:pPr>
      <w:r w:rsidRPr="00356481">
        <w:rPr>
          <w:sz w:val="28"/>
          <w:szCs w:val="28"/>
        </w:rPr>
        <w:t>The primary aim of this study is to assess whether educational support delivered by nurses can improve treatment adherence among individuals living with chronic inflammatory bowel diseases. The research is guided by several core objectives: (1) to determine baseline awareness and adherence levels in patients with IBD, (2) to identify gaps in patient knowledge and reasons for non-compliance, (3) to develop and implement a structured educational intervention by nursing staff, (4) to measure the impact of this intervention on adherence and patient-reported outcomes, and (5) to propose recommendations for integrating educational programs into routine nursing care.</w:t>
      </w:r>
    </w:p>
    <w:p w:rsidR="00356481" w:rsidRPr="00356481" w:rsidRDefault="00356481" w:rsidP="005D166C">
      <w:pPr>
        <w:spacing w:before="100" w:beforeAutospacing="1" w:after="100" w:afterAutospacing="1" w:line="360" w:lineRule="auto"/>
        <w:ind w:firstLine="708"/>
        <w:jc w:val="both"/>
        <w:rPr>
          <w:sz w:val="28"/>
          <w:szCs w:val="28"/>
        </w:rPr>
      </w:pPr>
      <w:r w:rsidRPr="00356481">
        <w:rPr>
          <w:sz w:val="28"/>
          <w:szCs w:val="28"/>
        </w:rPr>
        <w:t xml:space="preserve">A quantitative-qualitative mixed-methods design was employed. The study included 60 patients diagnosed with IBD (30 with Crohn’s disease and 30 with ulcerative colitis), </w:t>
      </w:r>
      <w:r w:rsidRPr="00356481">
        <w:rPr>
          <w:sz w:val="28"/>
          <w:szCs w:val="28"/>
        </w:rPr>
        <w:lastRenderedPageBreak/>
        <w:t>recruited from a regional outpatient gastroenterology clinic. Participants were assessed at baseline using validated questionnaires: the Morisky Medication Adherence Scale (MMAS-8), the IBD Knowledge Questionnaire, and a quality-of-life index (IBDQ-9). Following initial assessment, participants received a standardized nursing-led educational program, including one-on-one counseling, printed materials, and follow-up sessions over 3 months. Post-intervention assessments were conducted using the same tools to evaluate changes in adherence, knowledge, and overall satisfaction.</w:t>
      </w:r>
    </w:p>
    <w:p w:rsidR="00356481" w:rsidRPr="00356481" w:rsidRDefault="00356481" w:rsidP="005D166C">
      <w:pPr>
        <w:spacing w:before="100" w:beforeAutospacing="1" w:after="100" w:afterAutospacing="1" w:line="360" w:lineRule="auto"/>
        <w:ind w:firstLine="708"/>
        <w:jc w:val="both"/>
        <w:rPr>
          <w:sz w:val="28"/>
          <w:szCs w:val="28"/>
        </w:rPr>
      </w:pPr>
      <w:r w:rsidRPr="00356481">
        <w:rPr>
          <w:sz w:val="28"/>
          <w:szCs w:val="28"/>
        </w:rPr>
        <w:t>The results revealed a statistically significant improvement in medication adherence post-intervention (p &lt; 0.01), with mean MMAS-8 scores rising from 5.1 to 7.3. Patient knowledge scores increased by 42%, while quality-of-life indicators improved by 26%. Furthermore, qualitative feedback highlighted increased confidence in self-management, stronger nurse-patient relationships, and greater understanding of long-term treatment goals. A subgroup analysis suggested that individualized educational support was more effective in younger patients and those with recent diagnoses.</w:t>
      </w:r>
    </w:p>
    <w:p w:rsidR="00356481" w:rsidRPr="00356481" w:rsidRDefault="00356481" w:rsidP="005D166C">
      <w:pPr>
        <w:spacing w:before="100" w:beforeAutospacing="1" w:after="100" w:afterAutospacing="1" w:line="360" w:lineRule="auto"/>
        <w:ind w:firstLine="708"/>
        <w:jc w:val="both"/>
        <w:rPr>
          <w:sz w:val="28"/>
          <w:szCs w:val="28"/>
        </w:rPr>
      </w:pPr>
      <w:r w:rsidRPr="00356481">
        <w:rPr>
          <w:sz w:val="28"/>
          <w:szCs w:val="28"/>
        </w:rPr>
        <w:t>This study confirms that structured educational interventions delivered by trained nursing professionals can substantially enhance medication adherence and empower patients with chronic inflammatory bowel diseases. The findings emphasize the necessity of integrating tailored educational strategies into nursing practice, especially in ambulatory settings where long-term care is coordinated. It also reinforces the critical role of nurses not only as caregivers, but as educators and advocates who bridge the knowledge gap and support patient-centered care.</w:t>
      </w:r>
    </w:p>
    <w:p w:rsidR="00356481" w:rsidRPr="002C5602" w:rsidRDefault="00356481" w:rsidP="002C5602">
      <w:pPr>
        <w:spacing w:before="100" w:beforeAutospacing="1" w:after="100" w:afterAutospacing="1" w:line="360" w:lineRule="auto"/>
        <w:ind w:firstLine="708"/>
        <w:jc w:val="both"/>
        <w:rPr>
          <w:sz w:val="28"/>
          <w:szCs w:val="28"/>
        </w:rPr>
      </w:pPr>
      <w:r w:rsidRPr="00356481">
        <w:rPr>
          <w:sz w:val="28"/>
          <w:szCs w:val="28"/>
        </w:rPr>
        <w:t>In conclusion, this research contributes to the evidence base advocating for expanded roles of nursing staff in managing chronic illnesses. Future studies should explore long-term sustainability of such interventions, scalability across different healthcare systems, and integration of digital educational tools to enhance reach and accessibility. Abbreviations used throughout the thesis include IBD – Inflammatory Bowel Disease; MMAS – Morisky Medication Adherence Scale; IBDQ – Inflammatory Bowel Disease Questionnaire; UC – Ulcerative Colitis; CD – Crohn's Disease.</w:t>
      </w:r>
    </w:p>
    <w:p w:rsidR="00D90DBA" w:rsidRDefault="002C5602" w:rsidP="002C5602">
      <w:pPr>
        <w:pStyle w:val="a4"/>
        <w:spacing w:line="360" w:lineRule="auto"/>
        <w:jc w:val="both"/>
        <w:rPr>
          <w:rStyle w:val="fadeinpfttw8"/>
          <w:sz w:val="28"/>
          <w:szCs w:val="28"/>
        </w:rPr>
      </w:pPr>
      <w:r w:rsidRPr="002C5602">
        <w:rPr>
          <w:rStyle w:val="fadeinpfttw8"/>
          <w:b/>
          <w:bCs/>
          <w:sz w:val="28"/>
          <w:szCs w:val="28"/>
        </w:rPr>
        <w:lastRenderedPageBreak/>
        <w:t>Keywords:</w:t>
      </w:r>
      <w:r w:rsidRPr="002C5602">
        <w:rPr>
          <w:rStyle w:val="fadeinpfttw8"/>
          <w:sz w:val="28"/>
          <w:szCs w:val="28"/>
        </w:rPr>
        <w:t xml:space="preserve"> nursing education, inflammatory bowel disease, ulcerative colitis, Crohn’s disease, medication adherence, patient education, chronic disease management, nursing interventions, self-management, nurse-patient communication.</w:t>
      </w:r>
      <w:r w:rsidR="00D90DBA">
        <w:rPr>
          <w:rStyle w:val="fadeinpfttw8"/>
          <w:sz w:val="28"/>
          <w:szCs w:val="28"/>
        </w:rPr>
        <w:br w:type="page"/>
      </w:r>
    </w:p>
    <w:tbl>
      <w:tblPr>
        <w:tblW w:w="10065" w:type="dxa"/>
        <w:tblCellSpacing w:w="15" w:type="dxa"/>
        <w:tblCellMar>
          <w:top w:w="15" w:type="dxa"/>
          <w:left w:w="15" w:type="dxa"/>
          <w:bottom w:w="15" w:type="dxa"/>
          <w:right w:w="15" w:type="dxa"/>
        </w:tblCellMar>
        <w:tblLook w:val="04A0" w:firstRow="1" w:lastRow="0" w:firstColumn="1" w:lastColumn="0" w:noHBand="0" w:noVBand="1"/>
      </w:tblPr>
      <w:tblGrid>
        <w:gridCol w:w="1662"/>
        <w:gridCol w:w="6894"/>
        <w:gridCol w:w="1509"/>
      </w:tblGrid>
      <w:tr w:rsidR="00463E26" w:rsidRPr="00463E26" w:rsidTr="00AE1B32">
        <w:trPr>
          <w:tblHeader/>
          <w:tblCellSpacing w:w="15" w:type="dxa"/>
        </w:trPr>
        <w:tc>
          <w:tcPr>
            <w:tcW w:w="1617" w:type="dxa"/>
            <w:vAlign w:val="center"/>
            <w:hideMark/>
          </w:tcPr>
          <w:p w:rsidR="00463E26" w:rsidRPr="00463E26" w:rsidRDefault="00463E26">
            <w:pPr>
              <w:jc w:val="center"/>
              <w:rPr>
                <w:b/>
                <w:bCs/>
                <w:sz w:val="28"/>
                <w:szCs w:val="28"/>
              </w:rPr>
            </w:pPr>
            <w:r w:rsidRPr="00463E26">
              <w:rPr>
                <w:rStyle w:val="a5"/>
                <w:sz w:val="28"/>
                <w:szCs w:val="28"/>
              </w:rPr>
              <w:lastRenderedPageBreak/>
              <w:t>Section</w:t>
            </w:r>
          </w:p>
        </w:tc>
        <w:tc>
          <w:tcPr>
            <w:tcW w:w="6864" w:type="dxa"/>
            <w:vAlign w:val="center"/>
            <w:hideMark/>
          </w:tcPr>
          <w:p w:rsidR="00463E26" w:rsidRPr="00463E26" w:rsidRDefault="00463E26">
            <w:pPr>
              <w:jc w:val="center"/>
              <w:rPr>
                <w:b/>
                <w:bCs/>
                <w:sz w:val="28"/>
                <w:szCs w:val="28"/>
              </w:rPr>
            </w:pPr>
            <w:r w:rsidRPr="00463E26">
              <w:rPr>
                <w:rStyle w:val="a5"/>
                <w:sz w:val="28"/>
                <w:szCs w:val="28"/>
              </w:rPr>
              <w:t>Title</w:t>
            </w:r>
          </w:p>
        </w:tc>
        <w:tc>
          <w:tcPr>
            <w:tcW w:w="1464" w:type="dxa"/>
            <w:vAlign w:val="center"/>
            <w:hideMark/>
          </w:tcPr>
          <w:p w:rsidR="00463E26" w:rsidRPr="00463E26" w:rsidRDefault="00463E26">
            <w:pPr>
              <w:jc w:val="center"/>
              <w:rPr>
                <w:b/>
                <w:bCs/>
                <w:sz w:val="28"/>
                <w:szCs w:val="28"/>
              </w:rPr>
            </w:pPr>
            <w:r w:rsidRPr="00463E26">
              <w:rPr>
                <w:rStyle w:val="a5"/>
                <w:sz w:val="28"/>
                <w:szCs w:val="28"/>
              </w:rPr>
              <w:t>Page</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Abstract</w:t>
            </w:r>
          </w:p>
        </w:tc>
        <w:tc>
          <w:tcPr>
            <w:tcW w:w="6864" w:type="dxa"/>
            <w:vAlign w:val="center"/>
            <w:hideMark/>
          </w:tcPr>
          <w:p w:rsidR="00463E26" w:rsidRPr="00463E26" w:rsidRDefault="00463E26">
            <w:pPr>
              <w:rPr>
                <w:sz w:val="28"/>
                <w:szCs w:val="28"/>
              </w:rPr>
            </w:pPr>
          </w:p>
        </w:tc>
        <w:tc>
          <w:tcPr>
            <w:tcW w:w="1464" w:type="dxa"/>
            <w:vAlign w:val="center"/>
            <w:hideMark/>
          </w:tcPr>
          <w:p w:rsidR="00463E26" w:rsidRPr="00D6189D" w:rsidRDefault="00D6189D">
            <w:pPr>
              <w:rPr>
                <w:sz w:val="28"/>
                <w:szCs w:val="28"/>
                <w:lang w:val="uk-UA"/>
              </w:rPr>
            </w:pPr>
            <w:r>
              <w:rPr>
                <w:sz w:val="28"/>
                <w:szCs w:val="28"/>
                <w:lang w:val="uk-UA"/>
              </w:rPr>
              <w:t>2</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Keywords</w:t>
            </w:r>
          </w:p>
        </w:tc>
        <w:tc>
          <w:tcPr>
            <w:tcW w:w="6864" w:type="dxa"/>
            <w:vAlign w:val="center"/>
            <w:hideMark/>
          </w:tcPr>
          <w:p w:rsidR="00463E26" w:rsidRPr="00463E26" w:rsidRDefault="00463E26">
            <w:pPr>
              <w:rPr>
                <w:sz w:val="28"/>
                <w:szCs w:val="28"/>
              </w:rPr>
            </w:pPr>
          </w:p>
        </w:tc>
        <w:tc>
          <w:tcPr>
            <w:tcW w:w="1464" w:type="dxa"/>
            <w:vAlign w:val="center"/>
            <w:hideMark/>
          </w:tcPr>
          <w:p w:rsidR="00463E26" w:rsidRPr="00D6189D" w:rsidRDefault="00D6189D">
            <w:pPr>
              <w:rPr>
                <w:sz w:val="28"/>
                <w:szCs w:val="28"/>
                <w:lang w:val="uk-UA"/>
              </w:rPr>
            </w:pPr>
            <w:r>
              <w:rPr>
                <w:sz w:val="28"/>
                <w:szCs w:val="28"/>
                <w:lang w:val="uk-UA"/>
              </w:rPr>
              <w:t>4</w:t>
            </w:r>
          </w:p>
        </w:tc>
      </w:tr>
      <w:tr w:rsidR="00463E26" w:rsidRPr="00463E26" w:rsidTr="00AE1B32">
        <w:trPr>
          <w:tblCellSpacing w:w="15" w:type="dxa"/>
        </w:trPr>
        <w:tc>
          <w:tcPr>
            <w:tcW w:w="1617" w:type="dxa"/>
            <w:vAlign w:val="center"/>
            <w:hideMark/>
          </w:tcPr>
          <w:p w:rsidR="00463E26" w:rsidRPr="00463E26" w:rsidRDefault="00463E26">
            <w:pPr>
              <w:rPr>
                <w:sz w:val="28"/>
                <w:szCs w:val="28"/>
              </w:rPr>
            </w:pPr>
          </w:p>
        </w:tc>
        <w:tc>
          <w:tcPr>
            <w:tcW w:w="6864" w:type="dxa"/>
            <w:vAlign w:val="center"/>
            <w:hideMark/>
          </w:tcPr>
          <w:p w:rsidR="00463E26" w:rsidRPr="00463E26" w:rsidRDefault="00D6189D">
            <w:pPr>
              <w:rPr>
                <w:sz w:val="28"/>
                <w:szCs w:val="28"/>
              </w:rPr>
            </w:pPr>
            <w:r w:rsidRPr="00D6189D">
              <w:rPr>
                <w:sz w:val="28"/>
                <w:szCs w:val="28"/>
              </w:rPr>
              <w:t>List of Abbreviations</w:t>
            </w:r>
          </w:p>
        </w:tc>
        <w:tc>
          <w:tcPr>
            <w:tcW w:w="1464" w:type="dxa"/>
            <w:vAlign w:val="center"/>
            <w:hideMark/>
          </w:tcPr>
          <w:p w:rsidR="00463E26" w:rsidRPr="00D6189D" w:rsidRDefault="00D6189D">
            <w:pPr>
              <w:rPr>
                <w:sz w:val="28"/>
                <w:szCs w:val="28"/>
                <w:lang w:val="uk-UA"/>
              </w:rPr>
            </w:pPr>
            <w:r>
              <w:rPr>
                <w:sz w:val="28"/>
                <w:szCs w:val="28"/>
                <w:lang w:val="uk-UA"/>
              </w:rPr>
              <w:t>6</w:t>
            </w:r>
          </w:p>
        </w:tc>
      </w:tr>
      <w:tr w:rsidR="00D6189D" w:rsidRPr="00463E26" w:rsidTr="00AE1B32">
        <w:trPr>
          <w:tblCellSpacing w:w="15" w:type="dxa"/>
        </w:trPr>
        <w:tc>
          <w:tcPr>
            <w:tcW w:w="1617" w:type="dxa"/>
            <w:vAlign w:val="center"/>
          </w:tcPr>
          <w:p w:rsidR="00D6189D" w:rsidRPr="00463E26" w:rsidRDefault="00D6189D">
            <w:pPr>
              <w:rPr>
                <w:sz w:val="28"/>
                <w:szCs w:val="28"/>
              </w:rPr>
            </w:pPr>
          </w:p>
        </w:tc>
        <w:tc>
          <w:tcPr>
            <w:tcW w:w="6864" w:type="dxa"/>
            <w:vAlign w:val="center"/>
          </w:tcPr>
          <w:p w:rsidR="00D6189D" w:rsidRPr="00D6189D" w:rsidRDefault="00D6189D">
            <w:pPr>
              <w:rPr>
                <w:sz w:val="28"/>
                <w:szCs w:val="28"/>
                <w:lang w:val="en-US"/>
              </w:rPr>
            </w:pPr>
            <w:r>
              <w:rPr>
                <w:sz w:val="28"/>
                <w:szCs w:val="28"/>
                <w:lang w:val="en-US"/>
              </w:rPr>
              <w:t>Introduction</w:t>
            </w:r>
          </w:p>
        </w:tc>
        <w:tc>
          <w:tcPr>
            <w:tcW w:w="1464" w:type="dxa"/>
            <w:vAlign w:val="center"/>
          </w:tcPr>
          <w:p w:rsidR="00D6189D" w:rsidRPr="00D6189D" w:rsidRDefault="00D6189D">
            <w:pPr>
              <w:rPr>
                <w:sz w:val="28"/>
                <w:szCs w:val="28"/>
                <w:lang w:val="en-US"/>
              </w:rPr>
            </w:pPr>
            <w:r>
              <w:rPr>
                <w:sz w:val="28"/>
                <w:szCs w:val="28"/>
                <w:lang w:val="en-US"/>
              </w:rPr>
              <w:t>7</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w:t>
            </w:r>
          </w:p>
        </w:tc>
        <w:tc>
          <w:tcPr>
            <w:tcW w:w="6864" w:type="dxa"/>
            <w:vAlign w:val="center"/>
            <w:hideMark/>
          </w:tcPr>
          <w:p w:rsidR="00463E26" w:rsidRPr="00463E26" w:rsidRDefault="00463E26">
            <w:pPr>
              <w:rPr>
                <w:sz w:val="28"/>
                <w:szCs w:val="28"/>
              </w:rPr>
            </w:pPr>
            <w:r w:rsidRPr="00463E26">
              <w:rPr>
                <w:sz w:val="28"/>
                <w:szCs w:val="28"/>
              </w:rPr>
              <w:t>Theoretical Background</w:t>
            </w:r>
          </w:p>
        </w:tc>
        <w:tc>
          <w:tcPr>
            <w:tcW w:w="1464" w:type="dxa"/>
            <w:vAlign w:val="center"/>
            <w:hideMark/>
          </w:tcPr>
          <w:p w:rsidR="00463E26" w:rsidRPr="00D6189D" w:rsidRDefault="00D6189D">
            <w:pPr>
              <w:rPr>
                <w:sz w:val="28"/>
                <w:szCs w:val="28"/>
                <w:lang w:val="uk-UA"/>
              </w:rPr>
            </w:pPr>
            <w:r>
              <w:rPr>
                <w:sz w:val="28"/>
                <w:szCs w:val="28"/>
                <w:lang w:val="uk-UA"/>
              </w:rPr>
              <w:t>11</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1.1</w:t>
            </w:r>
          </w:p>
        </w:tc>
        <w:tc>
          <w:tcPr>
            <w:tcW w:w="6864" w:type="dxa"/>
            <w:vAlign w:val="center"/>
            <w:hideMark/>
          </w:tcPr>
          <w:p w:rsidR="00463E26" w:rsidRPr="00463E26" w:rsidRDefault="00463E26">
            <w:pPr>
              <w:rPr>
                <w:sz w:val="28"/>
                <w:szCs w:val="28"/>
              </w:rPr>
            </w:pPr>
            <w:r w:rsidRPr="00463E26">
              <w:rPr>
                <w:sz w:val="28"/>
                <w:szCs w:val="28"/>
              </w:rPr>
              <w:t>Overview of Inflammatory Bowel Diseases</w:t>
            </w:r>
          </w:p>
        </w:tc>
        <w:tc>
          <w:tcPr>
            <w:tcW w:w="1464" w:type="dxa"/>
            <w:vAlign w:val="center"/>
            <w:hideMark/>
          </w:tcPr>
          <w:p w:rsidR="00463E26" w:rsidRPr="00D6189D" w:rsidRDefault="00D6189D">
            <w:pPr>
              <w:rPr>
                <w:sz w:val="28"/>
                <w:szCs w:val="28"/>
                <w:lang w:val="en-US"/>
              </w:rPr>
            </w:pPr>
            <w:r>
              <w:rPr>
                <w:sz w:val="28"/>
                <w:szCs w:val="28"/>
                <w:lang w:val="en-US"/>
              </w:rPr>
              <w:t>11</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1.2</w:t>
            </w:r>
          </w:p>
        </w:tc>
        <w:tc>
          <w:tcPr>
            <w:tcW w:w="6864" w:type="dxa"/>
            <w:vAlign w:val="center"/>
            <w:hideMark/>
          </w:tcPr>
          <w:p w:rsidR="00463E26" w:rsidRPr="00463E26" w:rsidRDefault="00463E26">
            <w:pPr>
              <w:rPr>
                <w:sz w:val="28"/>
                <w:szCs w:val="28"/>
              </w:rPr>
            </w:pPr>
            <w:r w:rsidRPr="00463E26">
              <w:rPr>
                <w:sz w:val="28"/>
                <w:szCs w:val="28"/>
              </w:rPr>
              <w:t>Challenges in Managing Chronic Conditions</w:t>
            </w:r>
          </w:p>
        </w:tc>
        <w:tc>
          <w:tcPr>
            <w:tcW w:w="1464" w:type="dxa"/>
            <w:vAlign w:val="center"/>
            <w:hideMark/>
          </w:tcPr>
          <w:p w:rsidR="00463E26" w:rsidRPr="00D6189D" w:rsidRDefault="00D6189D">
            <w:pPr>
              <w:rPr>
                <w:sz w:val="28"/>
                <w:szCs w:val="28"/>
                <w:lang w:val="en-US"/>
              </w:rPr>
            </w:pPr>
            <w:r>
              <w:rPr>
                <w:sz w:val="28"/>
                <w:szCs w:val="28"/>
                <w:lang w:val="en-US"/>
              </w:rPr>
              <w:t>13</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1.3</w:t>
            </w:r>
          </w:p>
        </w:tc>
        <w:tc>
          <w:tcPr>
            <w:tcW w:w="6864" w:type="dxa"/>
            <w:vAlign w:val="center"/>
            <w:hideMark/>
          </w:tcPr>
          <w:p w:rsidR="00463E26" w:rsidRPr="00463E26" w:rsidRDefault="00463E26">
            <w:pPr>
              <w:rPr>
                <w:sz w:val="28"/>
                <w:szCs w:val="28"/>
              </w:rPr>
            </w:pPr>
            <w:r w:rsidRPr="00463E26">
              <w:rPr>
                <w:sz w:val="28"/>
                <w:szCs w:val="28"/>
              </w:rPr>
              <w:t>Patient Education in Nursing Practice</w:t>
            </w:r>
          </w:p>
        </w:tc>
        <w:tc>
          <w:tcPr>
            <w:tcW w:w="1464" w:type="dxa"/>
            <w:vAlign w:val="center"/>
            <w:hideMark/>
          </w:tcPr>
          <w:p w:rsidR="00463E26" w:rsidRPr="00463E26" w:rsidRDefault="00463E26">
            <w:pPr>
              <w:rPr>
                <w:sz w:val="28"/>
                <w:szCs w:val="28"/>
              </w:rPr>
            </w:pPr>
            <w:r w:rsidRPr="00463E26">
              <w:rPr>
                <w:sz w:val="28"/>
                <w:szCs w:val="28"/>
              </w:rPr>
              <w:t>12</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1.4</w:t>
            </w:r>
          </w:p>
        </w:tc>
        <w:tc>
          <w:tcPr>
            <w:tcW w:w="6864" w:type="dxa"/>
            <w:vAlign w:val="center"/>
            <w:hideMark/>
          </w:tcPr>
          <w:p w:rsidR="00463E26" w:rsidRPr="00463E26" w:rsidRDefault="00D6189D">
            <w:pPr>
              <w:rPr>
                <w:sz w:val="28"/>
                <w:szCs w:val="28"/>
              </w:rPr>
            </w:pPr>
            <w:r w:rsidRPr="00D6189D">
              <w:rPr>
                <w:rStyle w:val="fadeinpfttw8"/>
                <w:sz w:val="28"/>
                <w:szCs w:val="28"/>
              </w:rPr>
              <w:t>Evidence-Based Educational Interventions in IBD: A Literature Review</w:t>
            </w:r>
          </w:p>
        </w:tc>
        <w:tc>
          <w:tcPr>
            <w:tcW w:w="1464" w:type="dxa"/>
            <w:vAlign w:val="center"/>
            <w:hideMark/>
          </w:tcPr>
          <w:p w:rsidR="00463E26" w:rsidRPr="00D6189D" w:rsidRDefault="00463E26">
            <w:pPr>
              <w:rPr>
                <w:sz w:val="28"/>
                <w:szCs w:val="28"/>
                <w:lang w:val="en-US"/>
              </w:rPr>
            </w:pPr>
            <w:r w:rsidRPr="00463E26">
              <w:rPr>
                <w:sz w:val="28"/>
                <w:szCs w:val="28"/>
              </w:rPr>
              <w:t>1</w:t>
            </w:r>
            <w:r w:rsidR="00D6189D">
              <w:rPr>
                <w:sz w:val="28"/>
                <w:szCs w:val="28"/>
                <w:lang w:val="en-US"/>
              </w:rPr>
              <w:t>9</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1.5</w:t>
            </w:r>
          </w:p>
        </w:tc>
        <w:tc>
          <w:tcPr>
            <w:tcW w:w="6864" w:type="dxa"/>
            <w:vAlign w:val="center"/>
            <w:hideMark/>
          </w:tcPr>
          <w:p w:rsidR="00463E26" w:rsidRPr="00463E26" w:rsidRDefault="00463E26">
            <w:pPr>
              <w:rPr>
                <w:sz w:val="28"/>
                <w:szCs w:val="28"/>
              </w:rPr>
            </w:pPr>
            <w:r w:rsidRPr="00463E26">
              <w:rPr>
                <w:sz w:val="28"/>
                <w:szCs w:val="28"/>
              </w:rPr>
              <w:t>Role of the Nurse in IBD Management</w:t>
            </w:r>
          </w:p>
        </w:tc>
        <w:tc>
          <w:tcPr>
            <w:tcW w:w="1464" w:type="dxa"/>
            <w:vAlign w:val="center"/>
            <w:hideMark/>
          </w:tcPr>
          <w:p w:rsidR="00463E26" w:rsidRPr="00D6189D" w:rsidRDefault="00463E26">
            <w:pPr>
              <w:rPr>
                <w:sz w:val="28"/>
                <w:szCs w:val="28"/>
                <w:lang w:val="en-US"/>
              </w:rPr>
            </w:pPr>
            <w:r w:rsidRPr="00463E26">
              <w:rPr>
                <w:sz w:val="28"/>
                <w:szCs w:val="28"/>
              </w:rPr>
              <w:t>2</w:t>
            </w:r>
            <w:r w:rsidR="00D6189D">
              <w:rPr>
                <w:sz w:val="28"/>
                <w:szCs w:val="28"/>
                <w:lang w:val="en-US"/>
              </w:rPr>
              <w:t>2</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1.6</w:t>
            </w:r>
          </w:p>
        </w:tc>
        <w:tc>
          <w:tcPr>
            <w:tcW w:w="6864" w:type="dxa"/>
            <w:vAlign w:val="center"/>
            <w:hideMark/>
          </w:tcPr>
          <w:p w:rsidR="00463E26" w:rsidRPr="00463E26" w:rsidRDefault="00463E26">
            <w:pPr>
              <w:rPr>
                <w:sz w:val="28"/>
                <w:szCs w:val="28"/>
              </w:rPr>
            </w:pPr>
            <w:r w:rsidRPr="00463E26">
              <w:rPr>
                <w:sz w:val="28"/>
                <w:szCs w:val="28"/>
              </w:rPr>
              <w:t>Legal and Ethical Aspects of Nursing Education</w:t>
            </w:r>
          </w:p>
        </w:tc>
        <w:tc>
          <w:tcPr>
            <w:tcW w:w="1464" w:type="dxa"/>
            <w:vAlign w:val="center"/>
            <w:hideMark/>
          </w:tcPr>
          <w:p w:rsidR="00463E26" w:rsidRPr="00AB1A4B" w:rsidRDefault="00463E26">
            <w:pPr>
              <w:rPr>
                <w:sz w:val="28"/>
                <w:szCs w:val="28"/>
                <w:lang w:val="en-US"/>
              </w:rPr>
            </w:pPr>
            <w:r w:rsidRPr="00463E26">
              <w:rPr>
                <w:sz w:val="28"/>
                <w:szCs w:val="28"/>
              </w:rPr>
              <w:t>2</w:t>
            </w:r>
            <w:r w:rsidR="00AB1A4B">
              <w:rPr>
                <w:sz w:val="28"/>
                <w:szCs w:val="28"/>
                <w:lang w:val="en-US"/>
              </w:rPr>
              <w:t>4</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1.7</w:t>
            </w:r>
          </w:p>
        </w:tc>
        <w:tc>
          <w:tcPr>
            <w:tcW w:w="6864" w:type="dxa"/>
            <w:vAlign w:val="center"/>
            <w:hideMark/>
          </w:tcPr>
          <w:p w:rsidR="00463E26" w:rsidRPr="00463E26" w:rsidRDefault="00463E26">
            <w:pPr>
              <w:rPr>
                <w:sz w:val="28"/>
                <w:szCs w:val="28"/>
              </w:rPr>
            </w:pPr>
            <w:r w:rsidRPr="00463E26">
              <w:rPr>
                <w:sz w:val="28"/>
                <w:szCs w:val="28"/>
              </w:rPr>
              <w:t>International Guidelines on IBD and Nursing Roles</w:t>
            </w:r>
          </w:p>
        </w:tc>
        <w:tc>
          <w:tcPr>
            <w:tcW w:w="1464" w:type="dxa"/>
            <w:vAlign w:val="center"/>
            <w:hideMark/>
          </w:tcPr>
          <w:p w:rsidR="00463E26" w:rsidRPr="00AB1A4B" w:rsidRDefault="00AB1A4B">
            <w:pPr>
              <w:rPr>
                <w:sz w:val="28"/>
                <w:szCs w:val="28"/>
                <w:lang w:val="en-US"/>
              </w:rPr>
            </w:pPr>
            <w:r>
              <w:rPr>
                <w:sz w:val="28"/>
                <w:szCs w:val="28"/>
                <w:lang w:val="en-US"/>
              </w:rPr>
              <w:t>28</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w:t>
            </w:r>
          </w:p>
        </w:tc>
        <w:tc>
          <w:tcPr>
            <w:tcW w:w="6864" w:type="dxa"/>
            <w:vAlign w:val="center"/>
            <w:hideMark/>
          </w:tcPr>
          <w:p w:rsidR="00463E26" w:rsidRPr="00463E26" w:rsidRDefault="00463E26">
            <w:pPr>
              <w:rPr>
                <w:sz w:val="28"/>
                <w:szCs w:val="28"/>
              </w:rPr>
            </w:pPr>
            <w:r w:rsidRPr="00463E26">
              <w:rPr>
                <w:sz w:val="28"/>
                <w:szCs w:val="28"/>
              </w:rPr>
              <w:t>Methodology and Results</w:t>
            </w:r>
          </w:p>
        </w:tc>
        <w:tc>
          <w:tcPr>
            <w:tcW w:w="1464" w:type="dxa"/>
            <w:vAlign w:val="center"/>
            <w:hideMark/>
          </w:tcPr>
          <w:p w:rsidR="00463E26" w:rsidRPr="00AB1A4B" w:rsidRDefault="00463E26">
            <w:pPr>
              <w:rPr>
                <w:sz w:val="28"/>
                <w:szCs w:val="28"/>
                <w:lang w:val="en-US"/>
              </w:rPr>
            </w:pPr>
            <w:r w:rsidRPr="00463E26">
              <w:rPr>
                <w:sz w:val="28"/>
                <w:szCs w:val="28"/>
              </w:rPr>
              <w:t>3</w:t>
            </w:r>
            <w:r w:rsidR="00AB1A4B">
              <w:rPr>
                <w:sz w:val="28"/>
                <w:szCs w:val="28"/>
                <w:lang w:val="en-US"/>
              </w:rPr>
              <w:t>3</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2.1</w:t>
            </w:r>
          </w:p>
        </w:tc>
        <w:tc>
          <w:tcPr>
            <w:tcW w:w="6864" w:type="dxa"/>
            <w:vAlign w:val="center"/>
            <w:hideMark/>
          </w:tcPr>
          <w:p w:rsidR="00463E26" w:rsidRPr="00463E26" w:rsidRDefault="00AB1A4B">
            <w:pPr>
              <w:rPr>
                <w:sz w:val="28"/>
                <w:szCs w:val="28"/>
              </w:rPr>
            </w:pPr>
            <w:r w:rsidRPr="00AB1A4B">
              <w:rPr>
                <w:sz w:val="28"/>
                <w:szCs w:val="28"/>
              </w:rPr>
              <w:t>Research Setting, Population, and Methods</w:t>
            </w:r>
          </w:p>
        </w:tc>
        <w:tc>
          <w:tcPr>
            <w:tcW w:w="1464" w:type="dxa"/>
            <w:vAlign w:val="center"/>
            <w:hideMark/>
          </w:tcPr>
          <w:p w:rsidR="00463E26" w:rsidRPr="00AB1A4B" w:rsidRDefault="00463E26">
            <w:pPr>
              <w:rPr>
                <w:sz w:val="28"/>
                <w:szCs w:val="28"/>
                <w:lang w:val="en-US"/>
              </w:rPr>
            </w:pPr>
            <w:r w:rsidRPr="00463E26">
              <w:rPr>
                <w:sz w:val="28"/>
                <w:szCs w:val="28"/>
              </w:rPr>
              <w:t>3</w:t>
            </w:r>
            <w:r w:rsidR="00AB1A4B">
              <w:rPr>
                <w:sz w:val="28"/>
                <w:szCs w:val="28"/>
                <w:lang w:val="en-US"/>
              </w:rPr>
              <w:t>3</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2.2</w:t>
            </w:r>
          </w:p>
        </w:tc>
        <w:tc>
          <w:tcPr>
            <w:tcW w:w="6864" w:type="dxa"/>
            <w:vAlign w:val="center"/>
            <w:hideMark/>
          </w:tcPr>
          <w:p w:rsidR="00463E26" w:rsidRPr="00463E26" w:rsidRDefault="00AB1A4B">
            <w:pPr>
              <w:rPr>
                <w:sz w:val="28"/>
                <w:szCs w:val="28"/>
              </w:rPr>
            </w:pPr>
            <w:r w:rsidRPr="00194EEF">
              <w:rPr>
                <w:rStyle w:val="fadeinpfttw8"/>
                <w:sz w:val="28"/>
                <w:szCs w:val="28"/>
              </w:rPr>
              <w:t>Demographic and Clinical Characteristics of the Study Sample</w:t>
            </w:r>
          </w:p>
        </w:tc>
        <w:tc>
          <w:tcPr>
            <w:tcW w:w="1464" w:type="dxa"/>
            <w:vAlign w:val="center"/>
            <w:hideMark/>
          </w:tcPr>
          <w:p w:rsidR="00463E26" w:rsidRPr="00AB1A4B" w:rsidRDefault="00463E26">
            <w:pPr>
              <w:rPr>
                <w:sz w:val="28"/>
                <w:szCs w:val="28"/>
                <w:lang w:val="en-US"/>
              </w:rPr>
            </w:pPr>
            <w:r w:rsidRPr="00463E26">
              <w:rPr>
                <w:sz w:val="28"/>
                <w:szCs w:val="28"/>
              </w:rPr>
              <w:t>3</w:t>
            </w:r>
            <w:r w:rsidR="00AB1A4B">
              <w:rPr>
                <w:sz w:val="28"/>
                <w:szCs w:val="28"/>
                <w:lang w:val="en-US"/>
              </w:rPr>
              <w:t>4</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2.3</w:t>
            </w:r>
          </w:p>
        </w:tc>
        <w:tc>
          <w:tcPr>
            <w:tcW w:w="6864" w:type="dxa"/>
            <w:vAlign w:val="center"/>
            <w:hideMark/>
          </w:tcPr>
          <w:p w:rsidR="00463E26" w:rsidRPr="00463E26" w:rsidRDefault="00AB1A4B">
            <w:pPr>
              <w:rPr>
                <w:sz w:val="28"/>
                <w:szCs w:val="28"/>
              </w:rPr>
            </w:pPr>
            <w:r w:rsidRPr="00A308CC">
              <w:rPr>
                <w:rStyle w:val="fadeinpfttw8"/>
                <w:sz w:val="28"/>
                <w:szCs w:val="28"/>
              </w:rPr>
              <w:t>Results of the Educational Intervention and Adherence Analysis</w:t>
            </w:r>
          </w:p>
        </w:tc>
        <w:tc>
          <w:tcPr>
            <w:tcW w:w="1464" w:type="dxa"/>
            <w:vAlign w:val="center"/>
            <w:hideMark/>
          </w:tcPr>
          <w:p w:rsidR="00463E26" w:rsidRPr="00AB1A4B" w:rsidRDefault="00AB1A4B">
            <w:pPr>
              <w:rPr>
                <w:sz w:val="28"/>
                <w:szCs w:val="28"/>
                <w:lang w:val="en-US"/>
              </w:rPr>
            </w:pPr>
            <w:r>
              <w:rPr>
                <w:sz w:val="28"/>
                <w:szCs w:val="28"/>
                <w:lang w:val="en-US"/>
              </w:rPr>
              <w:t>37</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2.4</w:t>
            </w:r>
          </w:p>
        </w:tc>
        <w:tc>
          <w:tcPr>
            <w:tcW w:w="6864" w:type="dxa"/>
            <w:vAlign w:val="center"/>
            <w:hideMark/>
          </w:tcPr>
          <w:p w:rsidR="00463E26" w:rsidRPr="00463E26" w:rsidRDefault="00463E26">
            <w:pPr>
              <w:rPr>
                <w:sz w:val="28"/>
                <w:szCs w:val="28"/>
              </w:rPr>
            </w:pPr>
            <w:r w:rsidRPr="00463E26">
              <w:rPr>
                <w:sz w:val="28"/>
                <w:szCs w:val="28"/>
              </w:rPr>
              <w:t>Factors Affecting Adherence in IBD Patients</w:t>
            </w:r>
          </w:p>
        </w:tc>
        <w:tc>
          <w:tcPr>
            <w:tcW w:w="1464" w:type="dxa"/>
            <w:vAlign w:val="center"/>
            <w:hideMark/>
          </w:tcPr>
          <w:p w:rsidR="00463E26" w:rsidRPr="00AB1A4B" w:rsidRDefault="00463E26">
            <w:pPr>
              <w:rPr>
                <w:sz w:val="28"/>
                <w:szCs w:val="28"/>
                <w:lang w:val="en-US"/>
              </w:rPr>
            </w:pPr>
            <w:r w:rsidRPr="00463E26">
              <w:rPr>
                <w:sz w:val="28"/>
                <w:szCs w:val="28"/>
              </w:rPr>
              <w:t>4</w:t>
            </w:r>
            <w:r w:rsidR="00AB1A4B">
              <w:rPr>
                <w:sz w:val="28"/>
                <w:szCs w:val="28"/>
                <w:lang w:val="en-US"/>
              </w:rPr>
              <w:t>1</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2.5</w:t>
            </w:r>
          </w:p>
        </w:tc>
        <w:tc>
          <w:tcPr>
            <w:tcW w:w="6864" w:type="dxa"/>
            <w:vAlign w:val="center"/>
            <w:hideMark/>
          </w:tcPr>
          <w:p w:rsidR="00463E26" w:rsidRPr="00463E26" w:rsidRDefault="00463E26">
            <w:pPr>
              <w:rPr>
                <w:sz w:val="28"/>
                <w:szCs w:val="28"/>
              </w:rPr>
            </w:pPr>
            <w:r w:rsidRPr="00463E26">
              <w:rPr>
                <w:sz w:val="28"/>
                <w:szCs w:val="28"/>
              </w:rPr>
              <w:t>Qualitative Feedback and Patient Reflections</w:t>
            </w:r>
          </w:p>
        </w:tc>
        <w:tc>
          <w:tcPr>
            <w:tcW w:w="1464" w:type="dxa"/>
            <w:vAlign w:val="center"/>
            <w:hideMark/>
          </w:tcPr>
          <w:p w:rsidR="00463E26" w:rsidRPr="00AB1A4B" w:rsidRDefault="00463E26">
            <w:pPr>
              <w:rPr>
                <w:sz w:val="28"/>
                <w:szCs w:val="28"/>
                <w:lang w:val="en-US"/>
              </w:rPr>
            </w:pPr>
            <w:r w:rsidRPr="00463E26">
              <w:rPr>
                <w:sz w:val="28"/>
                <w:szCs w:val="28"/>
              </w:rPr>
              <w:t>5</w:t>
            </w:r>
            <w:r w:rsidR="00AB1A4B">
              <w:rPr>
                <w:sz w:val="28"/>
                <w:szCs w:val="28"/>
                <w:lang w:val="en-US"/>
              </w:rPr>
              <w:t>4</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3</w:t>
            </w:r>
          </w:p>
        </w:tc>
        <w:tc>
          <w:tcPr>
            <w:tcW w:w="6864" w:type="dxa"/>
            <w:vAlign w:val="center"/>
            <w:hideMark/>
          </w:tcPr>
          <w:p w:rsidR="00463E26" w:rsidRPr="00463E26" w:rsidRDefault="00463E26">
            <w:pPr>
              <w:rPr>
                <w:sz w:val="28"/>
                <w:szCs w:val="28"/>
              </w:rPr>
            </w:pPr>
            <w:r w:rsidRPr="00463E26">
              <w:rPr>
                <w:sz w:val="28"/>
                <w:szCs w:val="28"/>
              </w:rPr>
              <w:t>Discussion</w:t>
            </w:r>
          </w:p>
        </w:tc>
        <w:tc>
          <w:tcPr>
            <w:tcW w:w="1464" w:type="dxa"/>
            <w:vAlign w:val="center"/>
            <w:hideMark/>
          </w:tcPr>
          <w:p w:rsidR="00463E26" w:rsidRPr="00AB1A4B" w:rsidRDefault="00AB1A4B">
            <w:pPr>
              <w:rPr>
                <w:sz w:val="28"/>
                <w:szCs w:val="28"/>
                <w:lang w:val="en-US"/>
              </w:rPr>
            </w:pPr>
            <w:r>
              <w:rPr>
                <w:sz w:val="28"/>
                <w:szCs w:val="28"/>
                <w:lang w:val="en-US"/>
              </w:rPr>
              <w:t>48</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3.1</w:t>
            </w:r>
          </w:p>
        </w:tc>
        <w:tc>
          <w:tcPr>
            <w:tcW w:w="6864" w:type="dxa"/>
            <w:vAlign w:val="center"/>
            <w:hideMark/>
          </w:tcPr>
          <w:p w:rsidR="00463E26" w:rsidRPr="00463E26" w:rsidRDefault="00463E26">
            <w:pPr>
              <w:rPr>
                <w:sz w:val="28"/>
                <w:szCs w:val="28"/>
              </w:rPr>
            </w:pPr>
            <w:r w:rsidRPr="00463E26">
              <w:rPr>
                <w:sz w:val="28"/>
                <w:szCs w:val="28"/>
              </w:rPr>
              <w:t>Interpretation of Findings in Context of Literature</w:t>
            </w:r>
          </w:p>
        </w:tc>
        <w:tc>
          <w:tcPr>
            <w:tcW w:w="1464" w:type="dxa"/>
            <w:vAlign w:val="center"/>
            <w:hideMark/>
          </w:tcPr>
          <w:p w:rsidR="00463E26" w:rsidRPr="00AB1A4B" w:rsidRDefault="00AB1A4B">
            <w:pPr>
              <w:rPr>
                <w:sz w:val="28"/>
                <w:szCs w:val="28"/>
                <w:lang w:val="en-US"/>
              </w:rPr>
            </w:pPr>
            <w:r>
              <w:rPr>
                <w:sz w:val="28"/>
                <w:szCs w:val="28"/>
                <w:lang w:val="en-US"/>
              </w:rPr>
              <w:t>48</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3.2</w:t>
            </w:r>
          </w:p>
        </w:tc>
        <w:tc>
          <w:tcPr>
            <w:tcW w:w="6864" w:type="dxa"/>
            <w:vAlign w:val="center"/>
            <w:hideMark/>
          </w:tcPr>
          <w:p w:rsidR="00463E26" w:rsidRPr="00463E26" w:rsidRDefault="00463E26">
            <w:pPr>
              <w:rPr>
                <w:sz w:val="28"/>
                <w:szCs w:val="28"/>
              </w:rPr>
            </w:pPr>
            <w:r w:rsidRPr="00463E26">
              <w:rPr>
                <w:sz w:val="28"/>
                <w:szCs w:val="28"/>
              </w:rPr>
              <w:t>Limitations and Methodological Considerations</w:t>
            </w:r>
          </w:p>
        </w:tc>
        <w:tc>
          <w:tcPr>
            <w:tcW w:w="1464" w:type="dxa"/>
            <w:vAlign w:val="center"/>
            <w:hideMark/>
          </w:tcPr>
          <w:p w:rsidR="00463E26" w:rsidRPr="007D3EE3" w:rsidRDefault="007D3EE3">
            <w:pPr>
              <w:rPr>
                <w:sz w:val="28"/>
                <w:szCs w:val="28"/>
                <w:lang w:val="en-US"/>
              </w:rPr>
            </w:pPr>
            <w:r>
              <w:rPr>
                <w:sz w:val="28"/>
                <w:szCs w:val="28"/>
                <w:lang w:val="en-US"/>
              </w:rPr>
              <w:t>50</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3.3</w:t>
            </w:r>
          </w:p>
        </w:tc>
        <w:tc>
          <w:tcPr>
            <w:tcW w:w="6864" w:type="dxa"/>
            <w:vAlign w:val="center"/>
            <w:hideMark/>
          </w:tcPr>
          <w:p w:rsidR="00463E26" w:rsidRPr="00463E26" w:rsidRDefault="00463E26">
            <w:pPr>
              <w:rPr>
                <w:sz w:val="28"/>
                <w:szCs w:val="28"/>
              </w:rPr>
            </w:pPr>
            <w:r w:rsidRPr="00463E26">
              <w:rPr>
                <w:sz w:val="28"/>
                <w:szCs w:val="28"/>
              </w:rPr>
              <w:t>Practical Recommendations for Nursing Practice</w:t>
            </w:r>
          </w:p>
        </w:tc>
        <w:tc>
          <w:tcPr>
            <w:tcW w:w="1464" w:type="dxa"/>
            <w:vAlign w:val="center"/>
            <w:hideMark/>
          </w:tcPr>
          <w:p w:rsidR="00463E26" w:rsidRPr="00444C94" w:rsidRDefault="00444C94">
            <w:pPr>
              <w:rPr>
                <w:sz w:val="28"/>
                <w:szCs w:val="28"/>
                <w:lang w:val="en-US"/>
              </w:rPr>
            </w:pPr>
            <w:r>
              <w:rPr>
                <w:sz w:val="28"/>
                <w:szCs w:val="28"/>
                <w:lang w:val="en-US"/>
              </w:rPr>
              <w:t>53</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3.4</w:t>
            </w:r>
          </w:p>
        </w:tc>
        <w:tc>
          <w:tcPr>
            <w:tcW w:w="6864" w:type="dxa"/>
            <w:vAlign w:val="center"/>
            <w:hideMark/>
          </w:tcPr>
          <w:p w:rsidR="00463E26" w:rsidRPr="00463E26" w:rsidRDefault="00463E26">
            <w:pPr>
              <w:rPr>
                <w:sz w:val="28"/>
                <w:szCs w:val="28"/>
              </w:rPr>
            </w:pPr>
            <w:r w:rsidRPr="00463E26">
              <w:rPr>
                <w:sz w:val="28"/>
                <w:szCs w:val="28"/>
              </w:rPr>
              <w:t>Suggestions for Future Research</w:t>
            </w:r>
          </w:p>
        </w:tc>
        <w:tc>
          <w:tcPr>
            <w:tcW w:w="1464" w:type="dxa"/>
            <w:vAlign w:val="center"/>
            <w:hideMark/>
          </w:tcPr>
          <w:p w:rsidR="00463E26" w:rsidRPr="00444C94" w:rsidRDefault="00444C94">
            <w:pPr>
              <w:rPr>
                <w:sz w:val="28"/>
                <w:szCs w:val="28"/>
                <w:lang w:val="en-US"/>
              </w:rPr>
            </w:pPr>
            <w:r>
              <w:rPr>
                <w:sz w:val="28"/>
                <w:szCs w:val="28"/>
                <w:lang w:val="en-US"/>
              </w:rPr>
              <w:t>58</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4</w:t>
            </w:r>
          </w:p>
        </w:tc>
        <w:tc>
          <w:tcPr>
            <w:tcW w:w="6864" w:type="dxa"/>
            <w:vAlign w:val="center"/>
            <w:hideMark/>
          </w:tcPr>
          <w:p w:rsidR="00463E26" w:rsidRPr="00463E26" w:rsidRDefault="00463E26">
            <w:pPr>
              <w:rPr>
                <w:sz w:val="28"/>
                <w:szCs w:val="28"/>
              </w:rPr>
            </w:pPr>
            <w:r w:rsidRPr="00463E26">
              <w:rPr>
                <w:sz w:val="28"/>
                <w:szCs w:val="28"/>
              </w:rPr>
              <w:t>Conclusions</w:t>
            </w:r>
          </w:p>
        </w:tc>
        <w:tc>
          <w:tcPr>
            <w:tcW w:w="1464" w:type="dxa"/>
            <w:vAlign w:val="center"/>
            <w:hideMark/>
          </w:tcPr>
          <w:p w:rsidR="00463E26" w:rsidRPr="00444C94" w:rsidRDefault="00444C94">
            <w:pPr>
              <w:rPr>
                <w:sz w:val="28"/>
                <w:szCs w:val="28"/>
                <w:lang w:val="en-US"/>
              </w:rPr>
            </w:pPr>
            <w:r>
              <w:rPr>
                <w:sz w:val="28"/>
                <w:szCs w:val="28"/>
                <w:lang w:val="en-US"/>
              </w:rPr>
              <w:t>64</w:t>
            </w:r>
          </w:p>
        </w:tc>
      </w:tr>
      <w:tr w:rsidR="00463E26" w:rsidRPr="00463E26" w:rsidTr="00AE1B32">
        <w:trPr>
          <w:tblCellSpacing w:w="15" w:type="dxa"/>
        </w:trPr>
        <w:tc>
          <w:tcPr>
            <w:tcW w:w="1617" w:type="dxa"/>
            <w:vAlign w:val="center"/>
            <w:hideMark/>
          </w:tcPr>
          <w:p w:rsidR="00463E26" w:rsidRPr="00463E26" w:rsidRDefault="00463E26">
            <w:pPr>
              <w:rPr>
                <w:sz w:val="28"/>
                <w:szCs w:val="28"/>
              </w:rPr>
            </w:pPr>
            <w:r w:rsidRPr="00463E26">
              <w:rPr>
                <w:sz w:val="28"/>
                <w:szCs w:val="28"/>
              </w:rPr>
              <w:t>References</w:t>
            </w:r>
          </w:p>
        </w:tc>
        <w:tc>
          <w:tcPr>
            <w:tcW w:w="6864" w:type="dxa"/>
            <w:vAlign w:val="center"/>
            <w:hideMark/>
          </w:tcPr>
          <w:p w:rsidR="00463E26" w:rsidRPr="00463E26" w:rsidRDefault="00463E26">
            <w:pPr>
              <w:rPr>
                <w:sz w:val="28"/>
                <w:szCs w:val="28"/>
              </w:rPr>
            </w:pPr>
          </w:p>
        </w:tc>
        <w:tc>
          <w:tcPr>
            <w:tcW w:w="1464" w:type="dxa"/>
            <w:vAlign w:val="center"/>
            <w:hideMark/>
          </w:tcPr>
          <w:p w:rsidR="00463E26" w:rsidRPr="00444C94" w:rsidRDefault="00444C94">
            <w:pPr>
              <w:rPr>
                <w:sz w:val="28"/>
                <w:szCs w:val="28"/>
                <w:lang w:val="en-US"/>
              </w:rPr>
            </w:pPr>
            <w:r>
              <w:rPr>
                <w:sz w:val="28"/>
                <w:szCs w:val="28"/>
                <w:lang w:val="en-US"/>
              </w:rPr>
              <w:t>69</w:t>
            </w:r>
          </w:p>
        </w:tc>
      </w:tr>
    </w:tbl>
    <w:p w:rsidR="00463E26" w:rsidRDefault="00463E26" w:rsidP="00D90DBA">
      <w:pPr>
        <w:spacing w:line="360" w:lineRule="auto"/>
        <w:jc w:val="center"/>
        <w:rPr>
          <w:b/>
          <w:bCs/>
          <w:color w:val="000000" w:themeColor="text1"/>
          <w:sz w:val="28"/>
          <w:szCs w:val="28"/>
        </w:rPr>
      </w:pPr>
      <w:r>
        <w:rPr>
          <w:b/>
          <w:bCs/>
          <w:color w:val="000000" w:themeColor="text1"/>
          <w:sz w:val="28"/>
          <w:szCs w:val="28"/>
        </w:rPr>
        <w:br w:type="page"/>
      </w:r>
    </w:p>
    <w:tbl>
      <w:tblPr>
        <w:tblW w:w="10206" w:type="dxa"/>
        <w:tblCellSpacing w:w="15" w:type="dxa"/>
        <w:tblCellMar>
          <w:top w:w="15" w:type="dxa"/>
          <w:left w:w="15" w:type="dxa"/>
          <w:bottom w:w="15" w:type="dxa"/>
          <w:right w:w="15" w:type="dxa"/>
        </w:tblCellMar>
        <w:tblLook w:val="04A0" w:firstRow="1" w:lastRow="0" w:firstColumn="1" w:lastColumn="0" w:noHBand="0" w:noVBand="1"/>
      </w:tblPr>
      <w:tblGrid>
        <w:gridCol w:w="1662"/>
        <w:gridCol w:w="8544"/>
      </w:tblGrid>
      <w:tr w:rsidR="001E3D0E" w:rsidRPr="001E3D0E" w:rsidTr="00AE1B32">
        <w:trPr>
          <w:tblHeader/>
          <w:tblCellSpacing w:w="15" w:type="dxa"/>
        </w:trPr>
        <w:tc>
          <w:tcPr>
            <w:tcW w:w="0" w:type="auto"/>
            <w:vAlign w:val="center"/>
            <w:hideMark/>
          </w:tcPr>
          <w:p w:rsidR="001E3D0E" w:rsidRPr="001E3D0E" w:rsidRDefault="001E3D0E">
            <w:pPr>
              <w:jc w:val="center"/>
              <w:rPr>
                <w:b/>
                <w:bCs/>
                <w:sz w:val="28"/>
                <w:szCs w:val="28"/>
              </w:rPr>
            </w:pPr>
            <w:r w:rsidRPr="001E3D0E">
              <w:rPr>
                <w:rStyle w:val="a5"/>
                <w:sz w:val="28"/>
                <w:szCs w:val="28"/>
              </w:rPr>
              <w:lastRenderedPageBreak/>
              <w:t>Abbreviation</w:t>
            </w:r>
          </w:p>
        </w:tc>
        <w:tc>
          <w:tcPr>
            <w:tcW w:w="8499" w:type="dxa"/>
            <w:vAlign w:val="center"/>
            <w:hideMark/>
          </w:tcPr>
          <w:p w:rsidR="001E3D0E" w:rsidRPr="001E3D0E" w:rsidRDefault="001E3D0E">
            <w:pPr>
              <w:jc w:val="center"/>
              <w:rPr>
                <w:b/>
                <w:bCs/>
                <w:sz w:val="28"/>
                <w:szCs w:val="28"/>
              </w:rPr>
            </w:pPr>
            <w:r w:rsidRPr="001E3D0E">
              <w:rPr>
                <w:rStyle w:val="a5"/>
                <w:sz w:val="28"/>
                <w:szCs w:val="28"/>
              </w:rPr>
              <w:t>Full Term</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IBD</w:t>
            </w:r>
          </w:p>
        </w:tc>
        <w:tc>
          <w:tcPr>
            <w:tcW w:w="8499" w:type="dxa"/>
            <w:vAlign w:val="center"/>
            <w:hideMark/>
          </w:tcPr>
          <w:p w:rsidR="001E3D0E" w:rsidRPr="001E3D0E" w:rsidRDefault="001E3D0E">
            <w:pPr>
              <w:rPr>
                <w:sz w:val="28"/>
                <w:szCs w:val="28"/>
              </w:rPr>
            </w:pPr>
            <w:r w:rsidRPr="001E3D0E">
              <w:rPr>
                <w:sz w:val="28"/>
                <w:szCs w:val="28"/>
              </w:rPr>
              <w:t>Inflammatory Bowel Disease</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UC</w:t>
            </w:r>
          </w:p>
        </w:tc>
        <w:tc>
          <w:tcPr>
            <w:tcW w:w="8499" w:type="dxa"/>
            <w:vAlign w:val="center"/>
            <w:hideMark/>
          </w:tcPr>
          <w:p w:rsidR="001E3D0E" w:rsidRPr="001E3D0E" w:rsidRDefault="001E3D0E">
            <w:pPr>
              <w:rPr>
                <w:sz w:val="28"/>
                <w:szCs w:val="28"/>
              </w:rPr>
            </w:pPr>
            <w:r w:rsidRPr="001E3D0E">
              <w:rPr>
                <w:sz w:val="28"/>
                <w:szCs w:val="28"/>
              </w:rPr>
              <w:t>Ulcerative Colitis</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CD</w:t>
            </w:r>
          </w:p>
        </w:tc>
        <w:tc>
          <w:tcPr>
            <w:tcW w:w="8499" w:type="dxa"/>
            <w:vAlign w:val="center"/>
            <w:hideMark/>
          </w:tcPr>
          <w:p w:rsidR="001E3D0E" w:rsidRPr="001E3D0E" w:rsidRDefault="001E3D0E">
            <w:pPr>
              <w:rPr>
                <w:sz w:val="28"/>
                <w:szCs w:val="28"/>
              </w:rPr>
            </w:pPr>
            <w:r w:rsidRPr="001E3D0E">
              <w:rPr>
                <w:sz w:val="28"/>
                <w:szCs w:val="28"/>
              </w:rPr>
              <w:t>Crohn’s Disease</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ECCO</w:t>
            </w:r>
          </w:p>
        </w:tc>
        <w:tc>
          <w:tcPr>
            <w:tcW w:w="8499" w:type="dxa"/>
            <w:vAlign w:val="center"/>
            <w:hideMark/>
          </w:tcPr>
          <w:p w:rsidR="001E3D0E" w:rsidRPr="001E3D0E" w:rsidRDefault="001E3D0E">
            <w:pPr>
              <w:rPr>
                <w:sz w:val="28"/>
                <w:szCs w:val="28"/>
              </w:rPr>
            </w:pPr>
            <w:r w:rsidRPr="001E3D0E">
              <w:rPr>
                <w:sz w:val="28"/>
                <w:szCs w:val="28"/>
              </w:rPr>
              <w:t>European Crohn’s and Colitis Organisation</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CCF</w:t>
            </w:r>
          </w:p>
        </w:tc>
        <w:tc>
          <w:tcPr>
            <w:tcW w:w="8499" w:type="dxa"/>
            <w:vAlign w:val="center"/>
            <w:hideMark/>
          </w:tcPr>
          <w:p w:rsidR="001E3D0E" w:rsidRPr="001E3D0E" w:rsidRDefault="001E3D0E">
            <w:pPr>
              <w:rPr>
                <w:sz w:val="28"/>
                <w:szCs w:val="28"/>
              </w:rPr>
            </w:pPr>
            <w:r w:rsidRPr="001E3D0E">
              <w:rPr>
                <w:sz w:val="28"/>
                <w:szCs w:val="28"/>
              </w:rPr>
              <w:t>Crohn’s and Colitis Foundation</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WHO</w:t>
            </w:r>
          </w:p>
        </w:tc>
        <w:tc>
          <w:tcPr>
            <w:tcW w:w="8499" w:type="dxa"/>
            <w:vAlign w:val="center"/>
            <w:hideMark/>
          </w:tcPr>
          <w:p w:rsidR="001E3D0E" w:rsidRPr="001E3D0E" w:rsidRDefault="001E3D0E">
            <w:pPr>
              <w:rPr>
                <w:sz w:val="28"/>
                <w:szCs w:val="28"/>
              </w:rPr>
            </w:pPr>
            <w:r w:rsidRPr="001E3D0E">
              <w:rPr>
                <w:sz w:val="28"/>
                <w:szCs w:val="28"/>
              </w:rPr>
              <w:t>World Health Organization</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NICE</w:t>
            </w:r>
          </w:p>
        </w:tc>
        <w:tc>
          <w:tcPr>
            <w:tcW w:w="8499" w:type="dxa"/>
            <w:vAlign w:val="center"/>
            <w:hideMark/>
          </w:tcPr>
          <w:p w:rsidR="001E3D0E" w:rsidRPr="001E3D0E" w:rsidRDefault="001E3D0E">
            <w:pPr>
              <w:rPr>
                <w:sz w:val="28"/>
                <w:szCs w:val="28"/>
              </w:rPr>
            </w:pPr>
            <w:r w:rsidRPr="001E3D0E">
              <w:rPr>
                <w:sz w:val="28"/>
                <w:szCs w:val="28"/>
              </w:rPr>
              <w:t>National Institute for Health and Care Excellence</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MMAS-8</w:t>
            </w:r>
          </w:p>
        </w:tc>
        <w:tc>
          <w:tcPr>
            <w:tcW w:w="8499" w:type="dxa"/>
            <w:vAlign w:val="center"/>
            <w:hideMark/>
          </w:tcPr>
          <w:p w:rsidR="001E3D0E" w:rsidRPr="001E3D0E" w:rsidRDefault="001E3D0E">
            <w:pPr>
              <w:rPr>
                <w:sz w:val="28"/>
                <w:szCs w:val="28"/>
              </w:rPr>
            </w:pPr>
            <w:r w:rsidRPr="001E3D0E">
              <w:rPr>
                <w:sz w:val="28"/>
                <w:szCs w:val="28"/>
              </w:rPr>
              <w:t>Morisky Medication Adherence Scale (8-item version)</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QoL</w:t>
            </w:r>
          </w:p>
        </w:tc>
        <w:tc>
          <w:tcPr>
            <w:tcW w:w="8499" w:type="dxa"/>
            <w:vAlign w:val="center"/>
            <w:hideMark/>
          </w:tcPr>
          <w:p w:rsidR="001E3D0E" w:rsidRPr="001E3D0E" w:rsidRDefault="001E3D0E">
            <w:pPr>
              <w:rPr>
                <w:sz w:val="28"/>
                <w:szCs w:val="28"/>
              </w:rPr>
            </w:pPr>
            <w:r w:rsidRPr="001E3D0E">
              <w:rPr>
                <w:sz w:val="28"/>
                <w:szCs w:val="28"/>
              </w:rPr>
              <w:t>Quality of Life</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HBM</w:t>
            </w:r>
          </w:p>
        </w:tc>
        <w:tc>
          <w:tcPr>
            <w:tcW w:w="8499" w:type="dxa"/>
            <w:vAlign w:val="center"/>
            <w:hideMark/>
          </w:tcPr>
          <w:p w:rsidR="001E3D0E" w:rsidRPr="001E3D0E" w:rsidRDefault="001E3D0E">
            <w:pPr>
              <w:rPr>
                <w:sz w:val="28"/>
                <w:szCs w:val="28"/>
              </w:rPr>
            </w:pPr>
            <w:r w:rsidRPr="001E3D0E">
              <w:rPr>
                <w:sz w:val="28"/>
                <w:szCs w:val="28"/>
              </w:rPr>
              <w:t>Health Belief Model</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CCM</w:t>
            </w:r>
          </w:p>
        </w:tc>
        <w:tc>
          <w:tcPr>
            <w:tcW w:w="8499" w:type="dxa"/>
            <w:vAlign w:val="center"/>
            <w:hideMark/>
          </w:tcPr>
          <w:p w:rsidR="001E3D0E" w:rsidRPr="001E3D0E" w:rsidRDefault="001E3D0E">
            <w:pPr>
              <w:rPr>
                <w:sz w:val="28"/>
                <w:szCs w:val="28"/>
              </w:rPr>
            </w:pPr>
            <w:r w:rsidRPr="001E3D0E">
              <w:rPr>
                <w:sz w:val="28"/>
                <w:szCs w:val="28"/>
              </w:rPr>
              <w:t>Chronic Care Model</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ICN</w:t>
            </w:r>
          </w:p>
        </w:tc>
        <w:tc>
          <w:tcPr>
            <w:tcW w:w="8499" w:type="dxa"/>
            <w:vAlign w:val="center"/>
            <w:hideMark/>
          </w:tcPr>
          <w:p w:rsidR="001E3D0E" w:rsidRPr="001E3D0E" w:rsidRDefault="001E3D0E">
            <w:pPr>
              <w:rPr>
                <w:sz w:val="28"/>
                <w:szCs w:val="28"/>
              </w:rPr>
            </w:pPr>
            <w:r w:rsidRPr="001E3D0E">
              <w:rPr>
                <w:sz w:val="28"/>
                <w:szCs w:val="28"/>
              </w:rPr>
              <w:t>International Council of Nurses</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EHR</w:t>
            </w:r>
          </w:p>
        </w:tc>
        <w:tc>
          <w:tcPr>
            <w:tcW w:w="8499" w:type="dxa"/>
            <w:vAlign w:val="center"/>
            <w:hideMark/>
          </w:tcPr>
          <w:p w:rsidR="001E3D0E" w:rsidRPr="001E3D0E" w:rsidRDefault="001E3D0E">
            <w:pPr>
              <w:rPr>
                <w:sz w:val="28"/>
                <w:szCs w:val="28"/>
              </w:rPr>
            </w:pPr>
            <w:r w:rsidRPr="001E3D0E">
              <w:rPr>
                <w:sz w:val="28"/>
                <w:szCs w:val="28"/>
              </w:rPr>
              <w:t>Electronic Health Record</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PDSA</w:t>
            </w:r>
          </w:p>
        </w:tc>
        <w:tc>
          <w:tcPr>
            <w:tcW w:w="8499" w:type="dxa"/>
            <w:vAlign w:val="center"/>
            <w:hideMark/>
          </w:tcPr>
          <w:p w:rsidR="001E3D0E" w:rsidRPr="001E3D0E" w:rsidRDefault="001E3D0E">
            <w:pPr>
              <w:rPr>
                <w:sz w:val="28"/>
                <w:szCs w:val="28"/>
              </w:rPr>
            </w:pPr>
            <w:r w:rsidRPr="001E3D0E">
              <w:rPr>
                <w:sz w:val="28"/>
                <w:szCs w:val="28"/>
              </w:rPr>
              <w:t>Plan–Do–Study–Act</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AYA</w:t>
            </w:r>
          </w:p>
        </w:tc>
        <w:tc>
          <w:tcPr>
            <w:tcW w:w="8499" w:type="dxa"/>
            <w:vAlign w:val="center"/>
            <w:hideMark/>
          </w:tcPr>
          <w:p w:rsidR="001E3D0E" w:rsidRPr="001E3D0E" w:rsidRDefault="001E3D0E">
            <w:pPr>
              <w:rPr>
                <w:sz w:val="28"/>
                <w:szCs w:val="28"/>
              </w:rPr>
            </w:pPr>
            <w:r w:rsidRPr="001E3D0E">
              <w:rPr>
                <w:sz w:val="28"/>
                <w:szCs w:val="28"/>
              </w:rPr>
              <w:t>Adolescents and Young Adults</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REALM</w:t>
            </w:r>
          </w:p>
        </w:tc>
        <w:tc>
          <w:tcPr>
            <w:tcW w:w="8499" w:type="dxa"/>
            <w:vAlign w:val="center"/>
            <w:hideMark/>
          </w:tcPr>
          <w:p w:rsidR="001E3D0E" w:rsidRPr="001E3D0E" w:rsidRDefault="001E3D0E">
            <w:pPr>
              <w:rPr>
                <w:sz w:val="28"/>
                <w:szCs w:val="28"/>
              </w:rPr>
            </w:pPr>
            <w:r w:rsidRPr="001E3D0E">
              <w:rPr>
                <w:sz w:val="28"/>
                <w:szCs w:val="28"/>
              </w:rPr>
              <w:t>Rapid Estimate of Adult Literacy in Medicine</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NVS</w:t>
            </w:r>
          </w:p>
        </w:tc>
        <w:tc>
          <w:tcPr>
            <w:tcW w:w="8499" w:type="dxa"/>
            <w:vAlign w:val="center"/>
            <w:hideMark/>
          </w:tcPr>
          <w:p w:rsidR="001E3D0E" w:rsidRPr="001E3D0E" w:rsidRDefault="001E3D0E">
            <w:pPr>
              <w:rPr>
                <w:sz w:val="28"/>
                <w:szCs w:val="28"/>
              </w:rPr>
            </w:pPr>
            <w:r w:rsidRPr="001E3D0E">
              <w:rPr>
                <w:sz w:val="28"/>
                <w:szCs w:val="28"/>
              </w:rPr>
              <w:t>Newest Vital Sign</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RCT</w:t>
            </w:r>
          </w:p>
        </w:tc>
        <w:tc>
          <w:tcPr>
            <w:tcW w:w="8499" w:type="dxa"/>
            <w:vAlign w:val="center"/>
            <w:hideMark/>
          </w:tcPr>
          <w:p w:rsidR="001E3D0E" w:rsidRPr="001E3D0E" w:rsidRDefault="001E3D0E">
            <w:pPr>
              <w:rPr>
                <w:sz w:val="28"/>
                <w:szCs w:val="28"/>
              </w:rPr>
            </w:pPr>
            <w:r w:rsidRPr="001E3D0E">
              <w:rPr>
                <w:sz w:val="28"/>
                <w:szCs w:val="28"/>
              </w:rPr>
              <w:t>Randomized Controlled Trial</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CDSS</w:t>
            </w:r>
          </w:p>
        </w:tc>
        <w:tc>
          <w:tcPr>
            <w:tcW w:w="8499" w:type="dxa"/>
            <w:vAlign w:val="center"/>
            <w:hideMark/>
          </w:tcPr>
          <w:p w:rsidR="001E3D0E" w:rsidRPr="001E3D0E" w:rsidRDefault="001E3D0E">
            <w:pPr>
              <w:rPr>
                <w:sz w:val="28"/>
                <w:szCs w:val="28"/>
              </w:rPr>
            </w:pPr>
            <w:r w:rsidRPr="001E3D0E">
              <w:rPr>
                <w:sz w:val="28"/>
                <w:szCs w:val="28"/>
              </w:rPr>
              <w:t>Clinical Decision Support System</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GI</w:t>
            </w:r>
          </w:p>
        </w:tc>
        <w:tc>
          <w:tcPr>
            <w:tcW w:w="8499" w:type="dxa"/>
            <w:vAlign w:val="center"/>
            <w:hideMark/>
          </w:tcPr>
          <w:p w:rsidR="001E3D0E" w:rsidRPr="001E3D0E" w:rsidRDefault="001E3D0E">
            <w:pPr>
              <w:rPr>
                <w:sz w:val="28"/>
                <w:szCs w:val="28"/>
              </w:rPr>
            </w:pPr>
            <w:r w:rsidRPr="001E3D0E">
              <w:rPr>
                <w:sz w:val="28"/>
                <w:szCs w:val="28"/>
              </w:rPr>
              <w:t>Gastrointestinal</w:t>
            </w:r>
          </w:p>
        </w:tc>
      </w:tr>
      <w:tr w:rsidR="001E3D0E" w:rsidRPr="001E3D0E" w:rsidTr="00AE1B32">
        <w:trPr>
          <w:tblCellSpacing w:w="15" w:type="dxa"/>
        </w:trPr>
        <w:tc>
          <w:tcPr>
            <w:tcW w:w="0" w:type="auto"/>
            <w:vAlign w:val="center"/>
            <w:hideMark/>
          </w:tcPr>
          <w:p w:rsidR="001E3D0E" w:rsidRPr="001E3D0E" w:rsidRDefault="001E3D0E">
            <w:pPr>
              <w:rPr>
                <w:sz w:val="28"/>
                <w:szCs w:val="28"/>
              </w:rPr>
            </w:pPr>
            <w:r w:rsidRPr="001E3D0E">
              <w:rPr>
                <w:sz w:val="28"/>
                <w:szCs w:val="28"/>
              </w:rPr>
              <w:t>SMS</w:t>
            </w:r>
          </w:p>
        </w:tc>
        <w:tc>
          <w:tcPr>
            <w:tcW w:w="8499" w:type="dxa"/>
            <w:vAlign w:val="center"/>
            <w:hideMark/>
          </w:tcPr>
          <w:p w:rsidR="001E3D0E" w:rsidRPr="001E3D0E" w:rsidRDefault="001E3D0E">
            <w:pPr>
              <w:rPr>
                <w:sz w:val="28"/>
                <w:szCs w:val="28"/>
              </w:rPr>
            </w:pPr>
            <w:r w:rsidRPr="001E3D0E">
              <w:rPr>
                <w:sz w:val="28"/>
                <w:szCs w:val="28"/>
              </w:rPr>
              <w:t>Short Message Service</w:t>
            </w:r>
          </w:p>
        </w:tc>
      </w:tr>
    </w:tbl>
    <w:p w:rsidR="001E3D0E" w:rsidRDefault="001E3D0E" w:rsidP="00D90DBA">
      <w:pPr>
        <w:spacing w:line="360" w:lineRule="auto"/>
        <w:jc w:val="center"/>
        <w:rPr>
          <w:b/>
          <w:bCs/>
          <w:color w:val="000000" w:themeColor="text1"/>
          <w:sz w:val="28"/>
          <w:szCs w:val="28"/>
        </w:rPr>
      </w:pPr>
      <w:r>
        <w:rPr>
          <w:b/>
          <w:bCs/>
          <w:color w:val="000000" w:themeColor="text1"/>
          <w:sz w:val="28"/>
          <w:szCs w:val="28"/>
        </w:rPr>
        <w:br w:type="page"/>
      </w:r>
    </w:p>
    <w:p w:rsidR="00D90DBA" w:rsidRPr="00384BA4" w:rsidRDefault="00D90DBA" w:rsidP="00D862FB">
      <w:pPr>
        <w:spacing w:line="360" w:lineRule="auto"/>
        <w:jc w:val="center"/>
        <w:rPr>
          <w:b/>
          <w:bCs/>
          <w:color w:val="000000" w:themeColor="text1"/>
          <w:sz w:val="28"/>
          <w:szCs w:val="28"/>
        </w:rPr>
      </w:pPr>
      <w:r w:rsidRPr="00384BA4">
        <w:rPr>
          <w:b/>
          <w:bCs/>
          <w:color w:val="000000" w:themeColor="text1"/>
          <w:sz w:val="28"/>
          <w:szCs w:val="28"/>
        </w:rPr>
        <w:lastRenderedPageBreak/>
        <w:t>INTRODUCTION</w:t>
      </w:r>
    </w:p>
    <w:p w:rsidR="00D90DBA" w:rsidRPr="00D90DBA" w:rsidRDefault="00D90DBA" w:rsidP="00D90DBA">
      <w:pPr>
        <w:pStyle w:val="a4"/>
        <w:spacing w:line="360" w:lineRule="auto"/>
        <w:ind w:firstLine="708"/>
        <w:jc w:val="both"/>
        <w:rPr>
          <w:sz w:val="28"/>
          <w:szCs w:val="28"/>
        </w:rPr>
      </w:pPr>
      <w:r w:rsidRPr="00D90DBA">
        <w:rPr>
          <w:rStyle w:val="a5"/>
          <w:sz w:val="28"/>
          <w:szCs w:val="28"/>
        </w:rPr>
        <w:t>Background of the Study</w:t>
      </w:r>
      <w:r>
        <w:rPr>
          <w:sz w:val="28"/>
          <w:szCs w:val="28"/>
          <w:lang w:val="uk-UA"/>
        </w:rPr>
        <w:t xml:space="preserve">. </w:t>
      </w:r>
      <w:r w:rsidRPr="00D90DBA">
        <w:rPr>
          <w:sz w:val="28"/>
          <w:szCs w:val="28"/>
        </w:rPr>
        <w:t>Chronic inflammatory bowel diseases (IBD), comprising Crohn's disease (CD) and ulcerative colitis (UC), are lifelong, relapsing-remitting conditions that affect millions of individuals worldwide. These disorders are characterized by chronic inflammation of the gastrointestinal tract, leading to debilitating symptoms such as abdominal pain, persistent diarrhea, rectal bleeding, fatigue, and weight loss. Although the precise etiology of IBD remains uncertain, it is believed to result from a complex interplay between genetic predisposition, environmental triggers, immune system dysregulation, and gut microbiota imbalance [1].</w:t>
      </w:r>
    </w:p>
    <w:p w:rsidR="00D90DBA" w:rsidRPr="00D90DBA" w:rsidRDefault="00D90DBA" w:rsidP="00D90DBA">
      <w:pPr>
        <w:pStyle w:val="a4"/>
        <w:spacing w:line="360" w:lineRule="auto"/>
        <w:ind w:firstLine="708"/>
        <w:jc w:val="both"/>
        <w:rPr>
          <w:sz w:val="28"/>
          <w:szCs w:val="28"/>
        </w:rPr>
      </w:pPr>
      <w:r w:rsidRPr="00D90DBA">
        <w:rPr>
          <w:sz w:val="28"/>
          <w:szCs w:val="28"/>
        </w:rPr>
        <w:t>The incidence and prevalence of IBD have been steadily increasing over the past few decades, particularly in newly industrialized countries undergoing rapid Westernization of diet and lifestyle [2]. This epidemiological shift has transformed IBD into a global public health concern, with significant implications for healthcare systems and patient well-being. Given the chronic nature of the disease and the need for lifelong medical management, adherence to treatment regimens is essential for disease control, relapse prevention, and quality of life maintenance [3]. Despite advancements in pharmacotherapy, non-adherence to prescribed treatments remains a major challenge, with adherence rates reported as low as 40–60% [4].</w:t>
      </w:r>
    </w:p>
    <w:p w:rsidR="00D90DBA" w:rsidRPr="00D90DBA" w:rsidRDefault="00D90DBA" w:rsidP="00D90DBA">
      <w:pPr>
        <w:pStyle w:val="a4"/>
        <w:spacing w:line="360" w:lineRule="auto"/>
        <w:ind w:firstLine="708"/>
        <w:jc w:val="both"/>
        <w:rPr>
          <w:sz w:val="28"/>
          <w:szCs w:val="28"/>
        </w:rPr>
      </w:pPr>
      <w:r w:rsidRPr="00D90DBA">
        <w:rPr>
          <w:sz w:val="28"/>
          <w:szCs w:val="28"/>
        </w:rPr>
        <w:t>Among the major contributors to non-compliance are lack of disease understanding, limited health literacy, psychological distress, and inadequate communication between patients and healthcare providers [5]. Nurses, who often spend the most time with patients, are in a strategic position to address these issues through personalized education, empowerment, and motivational support [6]. However, structured and systematic nurse-led educational programs in IBD care are still underdeveloped in many healthcare settings, despite their demonstrated efficacy in other chronic diseases [7].</w:t>
      </w:r>
    </w:p>
    <w:p w:rsidR="00D90DBA" w:rsidRPr="00D90DBA" w:rsidRDefault="00D90DBA" w:rsidP="00D90DBA">
      <w:pPr>
        <w:pStyle w:val="a4"/>
        <w:spacing w:line="360" w:lineRule="auto"/>
        <w:ind w:firstLine="708"/>
        <w:jc w:val="both"/>
        <w:rPr>
          <w:sz w:val="28"/>
          <w:szCs w:val="28"/>
        </w:rPr>
      </w:pPr>
      <w:r w:rsidRPr="00D90DBA">
        <w:rPr>
          <w:rStyle w:val="a5"/>
          <w:sz w:val="28"/>
          <w:szCs w:val="28"/>
        </w:rPr>
        <w:t>Relevance and Importance of the Study</w:t>
      </w:r>
      <w:r>
        <w:rPr>
          <w:sz w:val="28"/>
          <w:szCs w:val="28"/>
          <w:lang w:val="uk-UA"/>
        </w:rPr>
        <w:t xml:space="preserve">. </w:t>
      </w:r>
      <w:r w:rsidRPr="00D90DBA">
        <w:rPr>
          <w:sz w:val="28"/>
          <w:szCs w:val="28"/>
        </w:rPr>
        <w:t xml:space="preserve">The growing burden of chronic gastrointestinal disorders such as IBD makes it increasingly important to identify and implement supportive care models that go beyond pharmacological treatment. In this regard, </w:t>
      </w:r>
      <w:r w:rsidRPr="00D90DBA">
        <w:rPr>
          <w:sz w:val="28"/>
          <w:szCs w:val="28"/>
        </w:rPr>
        <w:lastRenderedPageBreak/>
        <w:t>patient education—especially when delivered by nurses—can be considered an indispensable component of comprehensive care. It addresses the underlying behavioral and cognitive factors that influence whether patients follow through with medical advice [8].</w:t>
      </w:r>
    </w:p>
    <w:p w:rsidR="00D90DBA" w:rsidRPr="00D90DBA" w:rsidRDefault="00D90DBA" w:rsidP="00D90DBA">
      <w:pPr>
        <w:pStyle w:val="a4"/>
        <w:spacing w:line="360" w:lineRule="auto"/>
        <w:ind w:firstLine="708"/>
        <w:jc w:val="both"/>
        <w:rPr>
          <w:sz w:val="28"/>
          <w:szCs w:val="28"/>
        </w:rPr>
      </w:pPr>
      <w:r w:rsidRPr="00D90DBA">
        <w:rPr>
          <w:sz w:val="28"/>
          <w:szCs w:val="28"/>
        </w:rPr>
        <w:t>Research shows that poor adherence leads to negative clinical outcomes, higher healthcare costs, and patient dissatisfaction [9]. When patients are insufficiently informed about their disease or misunderstand the benefits and risks of treatment, they are more likely to skip doses, alter schedules, or discontinue therapy altogether. Effective education delivered by nursing professionals can counteract this by enhancing patients’ confidence in self-management, correcting misinformation, and fostering collaborative relationships [10].</w:t>
      </w:r>
    </w:p>
    <w:p w:rsidR="00D90DBA" w:rsidRPr="00D90DBA" w:rsidRDefault="00D90DBA" w:rsidP="00D90DBA">
      <w:pPr>
        <w:pStyle w:val="a4"/>
        <w:spacing w:line="360" w:lineRule="auto"/>
        <w:ind w:firstLine="708"/>
        <w:jc w:val="both"/>
        <w:rPr>
          <w:sz w:val="28"/>
          <w:szCs w:val="28"/>
        </w:rPr>
      </w:pPr>
      <w:r w:rsidRPr="00D90DBA">
        <w:rPr>
          <w:sz w:val="28"/>
          <w:szCs w:val="28"/>
        </w:rPr>
        <w:t>Despite these benefits, the role of nursing education in the context of IBD has not been thoroughly investigated. Most available research focuses on physician-patient interactions, leaving a gap in understanding how nursing interventions contribute to disease outcomes. This study addresses this gap and aims to demonstrate the effectiveness of nurse-led education as a pathway to improved adherence and quality of care in chronic intestinal conditions.</w:t>
      </w:r>
    </w:p>
    <w:p w:rsidR="00D90DBA" w:rsidRPr="00D90DBA" w:rsidRDefault="00D90DBA" w:rsidP="00D90DBA">
      <w:pPr>
        <w:pStyle w:val="a4"/>
        <w:spacing w:line="360" w:lineRule="auto"/>
        <w:ind w:firstLine="708"/>
        <w:jc w:val="both"/>
        <w:rPr>
          <w:sz w:val="28"/>
          <w:szCs w:val="28"/>
        </w:rPr>
      </w:pPr>
      <w:r w:rsidRPr="00D90DBA">
        <w:rPr>
          <w:rStyle w:val="a5"/>
          <w:sz w:val="28"/>
          <w:szCs w:val="28"/>
        </w:rPr>
        <w:t>Goal and Objectives of the Study</w:t>
      </w:r>
      <w:r>
        <w:rPr>
          <w:sz w:val="28"/>
          <w:szCs w:val="28"/>
          <w:lang w:val="uk-UA"/>
        </w:rPr>
        <w:t xml:space="preserve">. </w:t>
      </w:r>
      <w:r w:rsidRPr="00D90DBA">
        <w:rPr>
          <w:sz w:val="28"/>
          <w:szCs w:val="28"/>
        </w:rPr>
        <w:t>The main goal of this study is to evaluate the role and effectiveness of nursing education in improving medication adherence among patients with chronic inflammatory bowel diseases.</w:t>
      </w:r>
    </w:p>
    <w:p w:rsidR="00D90DBA" w:rsidRPr="00D90DBA" w:rsidRDefault="00D90DBA" w:rsidP="00D90DBA">
      <w:pPr>
        <w:pStyle w:val="a4"/>
        <w:spacing w:line="360" w:lineRule="auto"/>
        <w:ind w:firstLine="360"/>
        <w:jc w:val="both"/>
        <w:rPr>
          <w:sz w:val="28"/>
          <w:szCs w:val="28"/>
        </w:rPr>
      </w:pPr>
      <w:r w:rsidRPr="00D90DBA">
        <w:rPr>
          <w:sz w:val="28"/>
          <w:szCs w:val="28"/>
        </w:rPr>
        <w:t>To achieve this goal, the following objectives are pursued:</w:t>
      </w:r>
    </w:p>
    <w:p w:rsidR="00D90DBA" w:rsidRPr="00D90DBA" w:rsidRDefault="00D90DBA" w:rsidP="0017650E">
      <w:pPr>
        <w:pStyle w:val="a4"/>
        <w:numPr>
          <w:ilvl w:val="0"/>
          <w:numId w:val="2"/>
        </w:numPr>
        <w:spacing w:line="360" w:lineRule="auto"/>
        <w:jc w:val="both"/>
        <w:rPr>
          <w:sz w:val="28"/>
          <w:szCs w:val="28"/>
        </w:rPr>
      </w:pPr>
      <w:r w:rsidRPr="00D90DBA">
        <w:rPr>
          <w:sz w:val="28"/>
          <w:szCs w:val="28"/>
        </w:rPr>
        <w:t>To analyze the baseline level of disease knowledge and treatment understanding among patients with IBD.</w:t>
      </w:r>
    </w:p>
    <w:p w:rsidR="00D90DBA" w:rsidRPr="00D90DBA" w:rsidRDefault="00D90DBA" w:rsidP="0017650E">
      <w:pPr>
        <w:pStyle w:val="a4"/>
        <w:numPr>
          <w:ilvl w:val="0"/>
          <w:numId w:val="2"/>
        </w:numPr>
        <w:spacing w:line="360" w:lineRule="auto"/>
        <w:jc w:val="both"/>
        <w:rPr>
          <w:sz w:val="28"/>
          <w:szCs w:val="28"/>
        </w:rPr>
      </w:pPr>
      <w:r w:rsidRPr="00D90DBA">
        <w:rPr>
          <w:sz w:val="28"/>
          <w:szCs w:val="28"/>
        </w:rPr>
        <w:t>To assess current patterns of medication adherence and identify key barriers to compliance.</w:t>
      </w:r>
    </w:p>
    <w:p w:rsidR="00D90DBA" w:rsidRPr="00D90DBA" w:rsidRDefault="00D90DBA" w:rsidP="0017650E">
      <w:pPr>
        <w:pStyle w:val="a4"/>
        <w:numPr>
          <w:ilvl w:val="0"/>
          <w:numId w:val="2"/>
        </w:numPr>
        <w:spacing w:line="360" w:lineRule="auto"/>
        <w:jc w:val="both"/>
        <w:rPr>
          <w:sz w:val="28"/>
          <w:szCs w:val="28"/>
        </w:rPr>
      </w:pPr>
      <w:r w:rsidRPr="00D90DBA">
        <w:rPr>
          <w:sz w:val="28"/>
          <w:szCs w:val="28"/>
        </w:rPr>
        <w:t>To develop and implement a structured nursing education program focused on treatment adherence.</w:t>
      </w:r>
    </w:p>
    <w:p w:rsidR="00D90DBA" w:rsidRPr="00D90DBA" w:rsidRDefault="00D90DBA" w:rsidP="0017650E">
      <w:pPr>
        <w:pStyle w:val="a4"/>
        <w:numPr>
          <w:ilvl w:val="0"/>
          <w:numId w:val="2"/>
        </w:numPr>
        <w:spacing w:line="360" w:lineRule="auto"/>
        <w:jc w:val="both"/>
        <w:rPr>
          <w:sz w:val="28"/>
          <w:szCs w:val="28"/>
        </w:rPr>
      </w:pPr>
      <w:r w:rsidRPr="00D90DBA">
        <w:rPr>
          <w:sz w:val="28"/>
          <w:szCs w:val="28"/>
        </w:rPr>
        <w:t>To evaluate the short-term impact of this intervention on adherence, knowledge retention, and patient satisfaction.</w:t>
      </w:r>
    </w:p>
    <w:p w:rsidR="00D90DBA" w:rsidRPr="00D90DBA" w:rsidRDefault="00D90DBA" w:rsidP="0017650E">
      <w:pPr>
        <w:pStyle w:val="a4"/>
        <w:numPr>
          <w:ilvl w:val="0"/>
          <w:numId w:val="2"/>
        </w:numPr>
        <w:spacing w:line="360" w:lineRule="auto"/>
        <w:jc w:val="both"/>
        <w:rPr>
          <w:sz w:val="28"/>
          <w:szCs w:val="28"/>
        </w:rPr>
      </w:pPr>
      <w:r w:rsidRPr="00D90DBA">
        <w:rPr>
          <w:sz w:val="28"/>
          <w:szCs w:val="28"/>
        </w:rPr>
        <w:lastRenderedPageBreak/>
        <w:t>To explore factors influencing the success of educational interventions, including sociodemographic and clinical characteristics.</w:t>
      </w:r>
    </w:p>
    <w:p w:rsidR="00D90DBA" w:rsidRPr="00D90DBA" w:rsidRDefault="00D90DBA" w:rsidP="0017650E">
      <w:pPr>
        <w:pStyle w:val="a4"/>
        <w:numPr>
          <w:ilvl w:val="0"/>
          <w:numId w:val="2"/>
        </w:numPr>
        <w:spacing w:line="360" w:lineRule="auto"/>
        <w:jc w:val="both"/>
        <w:rPr>
          <w:sz w:val="28"/>
          <w:szCs w:val="28"/>
        </w:rPr>
      </w:pPr>
      <w:r w:rsidRPr="00D90DBA">
        <w:rPr>
          <w:sz w:val="28"/>
          <w:szCs w:val="28"/>
        </w:rPr>
        <w:t>To formulate practical recommendations for integrating patient education into standard nursing protocols for IBD care.</w:t>
      </w:r>
    </w:p>
    <w:p w:rsidR="00D90DBA" w:rsidRPr="00D90DBA" w:rsidRDefault="00D90DBA" w:rsidP="00D90DBA">
      <w:pPr>
        <w:pStyle w:val="a4"/>
        <w:spacing w:line="360" w:lineRule="auto"/>
        <w:ind w:firstLine="360"/>
        <w:jc w:val="both"/>
        <w:rPr>
          <w:sz w:val="28"/>
          <w:szCs w:val="28"/>
        </w:rPr>
      </w:pPr>
      <w:r w:rsidRPr="00D90DBA">
        <w:rPr>
          <w:rStyle w:val="a5"/>
          <w:sz w:val="28"/>
          <w:szCs w:val="28"/>
        </w:rPr>
        <w:t>Object and Subject of the Study</w:t>
      </w:r>
      <w:r>
        <w:rPr>
          <w:sz w:val="28"/>
          <w:szCs w:val="28"/>
          <w:lang w:val="uk-UA"/>
        </w:rPr>
        <w:t xml:space="preserve">. </w:t>
      </w:r>
      <w:r w:rsidRPr="00D90DBA">
        <w:rPr>
          <w:sz w:val="28"/>
          <w:szCs w:val="28"/>
        </w:rPr>
        <w:t>The object of the study is the process of nursing education in the clinical context of chronic gastrointestinal diseases. This includes the methods, tools, and approaches used by nurses to educate patients and enhance therapeutic cooperation.</w:t>
      </w:r>
    </w:p>
    <w:p w:rsidR="00D90DBA" w:rsidRPr="00D90DBA" w:rsidRDefault="00D90DBA" w:rsidP="00D90DBA">
      <w:pPr>
        <w:pStyle w:val="a4"/>
        <w:spacing w:line="360" w:lineRule="auto"/>
        <w:ind w:firstLine="360"/>
        <w:jc w:val="both"/>
        <w:rPr>
          <w:sz w:val="28"/>
          <w:szCs w:val="28"/>
        </w:rPr>
      </w:pPr>
      <w:r w:rsidRPr="00D90DBA">
        <w:rPr>
          <w:sz w:val="28"/>
          <w:szCs w:val="28"/>
        </w:rPr>
        <w:t>The subject of the study is the effect of nurse-led educational interventions on medication adherence among patients diagnosed with Crohn's disease and ulcerative colitis. The study specifically investigates how structured nursing education affects patients' behavior, treatment motivation, disease-related knowledge, and satisfaction with care.</w:t>
      </w:r>
    </w:p>
    <w:p w:rsidR="00D90DBA" w:rsidRPr="00D90DBA" w:rsidRDefault="00D90DBA" w:rsidP="00D90DBA">
      <w:pPr>
        <w:pStyle w:val="a4"/>
        <w:spacing w:line="360" w:lineRule="auto"/>
        <w:ind w:firstLine="360"/>
        <w:jc w:val="both"/>
        <w:rPr>
          <w:sz w:val="28"/>
          <w:szCs w:val="28"/>
        </w:rPr>
      </w:pPr>
      <w:r w:rsidRPr="00D90DBA">
        <w:rPr>
          <w:rStyle w:val="a5"/>
          <w:sz w:val="28"/>
          <w:szCs w:val="28"/>
        </w:rPr>
        <w:t>Methods Used in the Research</w:t>
      </w:r>
      <w:r>
        <w:rPr>
          <w:sz w:val="28"/>
          <w:szCs w:val="28"/>
          <w:lang w:val="uk-UA"/>
        </w:rPr>
        <w:t xml:space="preserve">. </w:t>
      </w:r>
      <w:r w:rsidRPr="00D90DBA">
        <w:rPr>
          <w:sz w:val="28"/>
          <w:szCs w:val="28"/>
        </w:rPr>
        <w:t>This study employs a mixed-methods approach combining quantitative and qualitative data collection. The research sample consists of adult patients diagnosed with IBD who receive care at a regional outpatient clinic. The initial phase includes a baseline assessment of medication adherence using the Morisky Medication Adherence Scale (MMAS-8) and a customized IBD knowledge questionnaire.</w:t>
      </w:r>
    </w:p>
    <w:p w:rsidR="00D90DBA" w:rsidRPr="00D90DBA" w:rsidRDefault="00D90DBA" w:rsidP="00D90DBA">
      <w:pPr>
        <w:pStyle w:val="a4"/>
        <w:spacing w:line="360" w:lineRule="auto"/>
        <w:ind w:firstLine="360"/>
        <w:jc w:val="both"/>
        <w:rPr>
          <w:sz w:val="28"/>
          <w:szCs w:val="28"/>
        </w:rPr>
      </w:pPr>
      <w:r w:rsidRPr="00D90DBA">
        <w:rPr>
          <w:sz w:val="28"/>
          <w:szCs w:val="28"/>
        </w:rPr>
        <w:t>Following the assessment, participants are enrolled in a three-month educational program designed and delivered by trained nursing staff. The intervention includes individual counseling, visual teaching aids, printed brochures, and scheduled follow-ups. Post-intervention data are collected to evaluate the program’s impact. Statistical analysis is applied to identify significant changes in adherence and knowledge scores, while semi-structured interviews capture patient experiences and perceived benefits.</w:t>
      </w:r>
    </w:p>
    <w:p w:rsidR="00D90DBA" w:rsidRPr="00D90DBA" w:rsidRDefault="00D90DBA" w:rsidP="00D90DBA">
      <w:pPr>
        <w:pStyle w:val="a4"/>
        <w:spacing w:line="360" w:lineRule="auto"/>
        <w:ind w:firstLine="360"/>
        <w:jc w:val="both"/>
        <w:rPr>
          <w:sz w:val="28"/>
          <w:szCs w:val="28"/>
        </w:rPr>
      </w:pPr>
      <w:r w:rsidRPr="00D90DBA">
        <w:rPr>
          <w:rStyle w:val="a5"/>
          <w:sz w:val="28"/>
          <w:szCs w:val="28"/>
        </w:rPr>
        <w:t>Scientific Novelty of the Research</w:t>
      </w:r>
      <w:r>
        <w:rPr>
          <w:sz w:val="28"/>
          <w:szCs w:val="28"/>
          <w:lang w:val="uk-UA"/>
        </w:rPr>
        <w:t xml:space="preserve">. </w:t>
      </w:r>
      <w:r w:rsidRPr="00D90DBA">
        <w:rPr>
          <w:sz w:val="28"/>
          <w:szCs w:val="28"/>
        </w:rPr>
        <w:t xml:space="preserve">The scientific novelty of this study lies in its focus on nurse-driven education as a primary mechanism to improve adherence in a patient population that traditionally receives little educational attention from non-physician staff. It </w:t>
      </w:r>
      <w:r w:rsidRPr="00D90DBA">
        <w:rPr>
          <w:sz w:val="28"/>
          <w:szCs w:val="28"/>
        </w:rPr>
        <w:lastRenderedPageBreak/>
        <w:t>contributes new empirical evidence to support the integration of structured nursing interventions into chronic disease management, specifically in IBD care.</w:t>
      </w:r>
    </w:p>
    <w:p w:rsidR="00D90DBA" w:rsidRPr="00D90DBA" w:rsidRDefault="00D90DBA" w:rsidP="00D90DBA">
      <w:pPr>
        <w:pStyle w:val="a4"/>
        <w:spacing w:line="360" w:lineRule="auto"/>
        <w:ind w:firstLine="360"/>
        <w:jc w:val="both"/>
        <w:rPr>
          <w:sz w:val="28"/>
          <w:szCs w:val="28"/>
        </w:rPr>
      </w:pPr>
      <w:r w:rsidRPr="00D90DBA">
        <w:rPr>
          <w:rStyle w:val="a5"/>
          <w:sz w:val="28"/>
          <w:szCs w:val="28"/>
        </w:rPr>
        <w:t>Expected Results and Practical Value</w:t>
      </w:r>
      <w:r>
        <w:rPr>
          <w:sz w:val="28"/>
          <w:szCs w:val="28"/>
          <w:lang w:val="uk-UA"/>
        </w:rPr>
        <w:t xml:space="preserve">. </w:t>
      </w:r>
      <w:r w:rsidRPr="00D90DBA">
        <w:rPr>
          <w:sz w:val="28"/>
          <w:szCs w:val="28"/>
        </w:rPr>
        <w:t>It is anticipated that the educational intervention will result in improved treatment adherence, increased patient knowledge, and greater satisfaction with nursing care. The results are expected to have practical value for clinical settings by providing a replicable model for nursing education programs. These findings may be used to inform institutional policies, guide professional training for nurses, and support multidisciplinary collaboration in managing IBD.</w:t>
      </w:r>
    </w:p>
    <w:p w:rsidR="00781433" w:rsidRDefault="00D90DBA" w:rsidP="00BD18B2">
      <w:pPr>
        <w:pStyle w:val="a4"/>
        <w:spacing w:line="360" w:lineRule="auto"/>
        <w:ind w:firstLine="360"/>
        <w:jc w:val="both"/>
        <w:rPr>
          <w:sz w:val="28"/>
          <w:szCs w:val="28"/>
        </w:rPr>
      </w:pPr>
      <w:r w:rsidRPr="00D90DBA">
        <w:rPr>
          <w:rStyle w:val="a5"/>
          <w:sz w:val="28"/>
          <w:szCs w:val="28"/>
        </w:rPr>
        <w:t>Publications</w:t>
      </w:r>
      <w:r w:rsidRPr="00D90DBA">
        <w:rPr>
          <w:sz w:val="28"/>
          <w:szCs w:val="28"/>
        </w:rPr>
        <w:br/>
        <w:t>The results of this study are planned to be disseminated through scientific conferences in nursing and gastroenterology, as well as submitted for publication in peer-reviewed journals. Materials from this thesis may also serve as a foundation for the development of continuing education modules for nursing staff involved in chronic care.</w:t>
      </w:r>
      <w:r w:rsidR="00781433">
        <w:rPr>
          <w:sz w:val="28"/>
          <w:szCs w:val="28"/>
        </w:rPr>
        <w:br w:type="page"/>
      </w:r>
    </w:p>
    <w:p w:rsidR="00781433" w:rsidRDefault="00781433" w:rsidP="00781433">
      <w:pPr>
        <w:pStyle w:val="a4"/>
        <w:spacing w:line="360" w:lineRule="auto"/>
        <w:ind w:firstLine="360"/>
        <w:jc w:val="center"/>
        <w:rPr>
          <w:b/>
          <w:bCs/>
          <w:sz w:val="28"/>
          <w:szCs w:val="28"/>
        </w:rPr>
      </w:pPr>
      <w:r w:rsidRPr="00781433">
        <w:rPr>
          <w:b/>
          <w:bCs/>
          <w:sz w:val="28"/>
          <w:szCs w:val="28"/>
        </w:rPr>
        <w:lastRenderedPageBreak/>
        <w:t>CHAPTER 1.</w:t>
      </w:r>
    </w:p>
    <w:p w:rsidR="00D90DBA" w:rsidRPr="00781433" w:rsidRDefault="00781433" w:rsidP="00781433">
      <w:pPr>
        <w:pStyle w:val="a4"/>
        <w:spacing w:line="360" w:lineRule="auto"/>
        <w:ind w:firstLine="360"/>
        <w:jc w:val="center"/>
        <w:rPr>
          <w:b/>
          <w:bCs/>
          <w:sz w:val="28"/>
          <w:szCs w:val="28"/>
        </w:rPr>
      </w:pPr>
      <w:r w:rsidRPr="00781433">
        <w:rPr>
          <w:b/>
          <w:bCs/>
          <w:sz w:val="28"/>
          <w:szCs w:val="28"/>
        </w:rPr>
        <w:t>THEORETICAL FRAMEWORK OF NURSING EDUCATION IN INFLAMMATORY BOWEL DISEASE MANAGEMENT</w:t>
      </w:r>
    </w:p>
    <w:p w:rsidR="00D90DBA" w:rsidRPr="00D90DBA" w:rsidRDefault="00D90DBA" w:rsidP="00D90DBA">
      <w:pPr>
        <w:pStyle w:val="a4"/>
        <w:spacing w:line="360" w:lineRule="auto"/>
        <w:jc w:val="both"/>
        <w:rPr>
          <w:sz w:val="28"/>
          <w:szCs w:val="28"/>
        </w:rPr>
      </w:pPr>
    </w:p>
    <w:p w:rsidR="009C6E40" w:rsidRPr="009C6E40" w:rsidRDefault="009C6E40" w:rsidP="009C6E40">
      <w:pPr>
        <w:pStyle w:val="3"/>
        <w:spacing w:line="360" w:lineRule="auto"/>
        <w:jc w:val="both"/>
        <w:rPr>
          <w:sz w:val="28"/>
          <w:szCs w:val="28"/>
        </w:rPr>
      </w:pPr>
      <w:r w:rsidRPr="009C6E40">
        <w:rPr>
          <w:rStyle w:val="fadeinpfttw8"/>
          <w:sz w:val="28"/>
          <w:szCs w:val="28"/>
        </w:rPr>
        <w:t>1.1. Inflammatory Bowel Diseases: Pathophysiology, Epidemiology, and Impact</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Inflammatory bowel diseases (IBD) constitute a group of chronic, idiopathic, immune-mediated disorders that primarily affect the gastrointestinal (GI) tract. The two principal forms—Crohn’s disease (CD) and ulcerative colitis (UC)—are characterized by periods of relapse and remission, with variable clinical manifestations, disease localization, and response to treatment. Both diseases significantly impair quality of life, impose lifelong therapeutic needs, and are associated with substantial economic and psychological burdens on patients and healthcare systems [1].</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Pathophysiology</w:t>
      </w:r>
      <w:r>
        <w:rPr>
          <w:sz w:val="28"/>
          <w:szCs w:val="28"/>
          <w:lang w:val="uk-UA"/>
        </w:rPr>
        <w:t xml:space="preserve">. </w:t>
      </w:r>
      <w:r w:rsidRPr="009C6E40">
        <w:rPr>
          <w:rStyle w:val="fadeinpfttw8"/>
          <w:sz w:val="28"/>
          <w:szCs w:val="28"/>
        </w:rPr>
        <w:t>The exact etiology of IBD remains incompletely understood, but current research supports a multifactorial model involving genetic predisposition, environmental triggers, dysbiosis of the gut microbiota, and an exaggerated immune response against intestinal flora. Crohn’s disease is characterized by transmural inflammation that may affect any part of the GI tract, from the mouth to the anus, and commonly involves skip lesions and granuloma formation. Ulcerative colitis, by contrast, is confined to the colon and rectum, and features continuous mucosal inflammation starting from the rectum and extending proximally [2][3].</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 xml:space="preserve">At the immunological level, IBD reflects an inappropriate and sustained activation of the mucosal immune system. CD is typically associated with Th1 and Th17 immune responses, whereas UC is predominantly linked to a dysregulated Th2 response. Pro-inflammatory cytokines, including tumor necrosis factor-alpha (TNF-α), interleukin-6 (IL-6), and interferon-gamma (IFN-γ), play pivotal roles in maintaining the inflammatory cascade [4]. The disruption of the intestinal barrier function, increased epithelial </w:t>
      </w:r>
      <w:r w:rsidRPr="009C6E40">
        <w:rPr>
          <w:rStyle w:val="fadeinpfttw8"/>
          <w:sz w:val="28"/>
          <w:szCs w:val="28"/>
        </w:rPr>
        <w:lastRenderedPageBreak/>
        <w:t>permeability, and the infiltration of immune cells further exacerbate the cycle of chronic inflammation [5].</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Epidemiology</w:t>
      </w:r>
      <w:r>
        <w:rPr>
          <w:sz w:val="28"/>
          <w:szCs w:val="28"/>
          <w:lang w:val="uk-UA"/>
        </w:rPr>
        <w:t xml:space="preserve">. </w:t>
      </w:r>
      <w:r w:rsidRPr="009C6E40">
        <w:rPr>
          <w:rStyle w:val="fadeinpfttw8"/>
          <w:sz w:val="28"/>
          <w:szCs w:val="28"/>
        </w:rPr>
        <w:t>Historically, IBD was regarded as a Western disease, predominantly affecting populations in North America and Europe. However, over the past three decades, a remarkable rise in incidence has been observed in newly industrialized countries across Asia, Africa, and Latin America. According to the latest estimates, over 6.8 million people globally are living with IBD, with prevalence rates exceeding 400 cases per 100,000 in countries such as Canada and Denmark [6].</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In Europe, the highest prevalence is reported in northern and western regions, while incidence in eastern and southern parts continues to rise steadily. In Ukraine, the reported prevalence is increasing, particularly in urbanized areas and among younger adults aged 20–40 years [7]. Pediatric-onset IBD is also gaining recognition, with cases often presenting with more aggressive disease and rapid progression [8].</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Several environmental factors have been associated with the rising incidence, including dietary patterns rich in processed foods, sedentary lifestyles, antibiotic exposure in early childhood, smoking (a risk factor in CD), and alterations in the gut microbiota due to urbanization and hygiene practices [9][10]. Genetic studies have identified more than 200 susceptibility loci, notably NOD2, IL23R, and ATG16L1, yet genetics alone do not fully explain the epidemiological trends, underscoring the importance of environmental and behavioral determinants [11].</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Clinical Presentation and Disease Burden</w:t>
      </w:r>
      <w:r>
        <w:rPr>
          <w:sz w:val="28"/>
          <w:szCs w:val="28"/>
          <w:lang w:val="uk-UA"/>
        </w:rPr>
        <w:t xml:space="preserve">. </w:t>
      </w:r>
      <w:r w:rsidRPr="009C6E40">
        <w:rPr>
          <w:rStyle w:val="fadeinpfttw8"/>
          <w:sz w:val="28"/>
          <w:szCs w:val="28"/>
        </w:rPr>
        <w:t>The clinical manifestations of IBD vary based on disease type, severity, and location. Common symptoms include chronic diarrhea, abdominal pain, rectal bleeding, weight loss, fatigue, fever, and extraintestinal manifestations such as arthritis, uveitis, and skin disorders. Crohn’s disease is more likely to cause fistulas, strictures, and perianal complications, while UC is commonly associated with bloody diarrhea and tenesmus [12].</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lastRenderedPageBreak/>
        <w:t>IBD significantly compromises patients’ physical, psychological, and social well-being. Studies have shown that more than 60% of individuals with IBD report reduced work productivity, increased absenteeism, and social isolation [13]. Anxiety and depression are prevalent, often underdiagnosed, and further exacerbate disease symptoms and treatment adherence [14]. The chronic nature of the disease, need for continuous medication, frequent medical appointments, and fear of relapse contribute to a decreased quality of life and emotional distress [15].</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Moreover, the financial burden of IBD is considerable. Costs arise from direct medical expenses—hospitalizations, surgeries, medications, diagnostic tests—as well as indirect costs such as loss of income, caregiver burden, and disability. In some countries, the annual per-patient cost of biologic therapies alone exceeds $20,000 [16]. This economic pressure is especially pronounced in lower-income countries where access to advanced therapies may be limited and patients often bear out-of-pocket expenses [17].</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Long-Term Management and Adherence Challenges</w:t>
      </w:r>
      <w:r>
        <w:rPr>
          <w:sz w:val="28"/>
          <w:szCs w:val="28"/>
          <w:lang w:val="uk-UA"/>
        </w:rPr>
        <w:t xml:space="preserve">. </w:t>
      </w:r>
      <w:r w:rsidRPr="009C6E40">
        <w:rPr>
          <w:rStyle w:val="fadeinpfttw8"/>
          <w:sz w:val="28"/>
          <w:szCs w:val="28"/>
        </w:rPr>
        <w:t>IBD is not curable, and its management requires a lifelong commitment to therapy. Treatment strategies include aminosalicylates, corticosteroids, immunomodulators, and biologic agents targeting TNF-α, integrins, or interleukin pathways. The goals of therapy are to induce and maintain remission, prevent complications, and improve quality of life [18]. Surgical intervention may be necessary in up to 50% of patients with CD and 20–30% of those with UC during their lifetime [19].</w:t>
      </w:r>
    </w:p>
    <w:p w:rsidR="009C6E40" w:rsidRPr="009C6E40" w:rsidRDefault="009C6E40" w:rsidP="009C6E40">
      <w:pPr>
        <w:pStyle w:val="a4"/>
        <w:spacing w:line="360" w:lineRule="auto"/>
        <w:ind w:firstLine="708"/>
        <w:jc w:val="both"/>
        <w:rPr>
          <w:rStyle w:val="fadeinpfttw8"/>
          <w:sz w:val="28"/>
          <w:szCs w:val="28"/>
        </w:rPr>
      </w:pPr>
      <w:r w:rsidRPr="009C6E40">
        <w:rPr>
          <w:rStyle w:val="fadeinpfttw8"/>
          <w:sz w:val="28"/>
          <w:szCs w:val="28"/>
        </w:rPr>
        <w:t>One of the greatest challenges in IBD care is ensuring consistent patient adherence to prescribed treatment regimens. Adherence is often compromised by the complexity of medication schedules, side effects, delayed treatment benefits, and lack of disease insight [20]. Research indicates that non-adherence rates among IBD patients can range from 30% to 45%, leading to increased risk of relapse, hospitalization, and surgery [21]. This highlights the urgent need for effective adherence-promoting strategies, particularly in the form of structured patient education and nurse-led interventions.</w:t>
      </w:r>
    </w:p>
    <w:p w:rsidR="009C6E40" w:rsidRPr="009C6E40" w:rsidRDefault="009C6E40" w:rsidP="009C6E40">
      <w:pPr>
        <w:pStyle w:val="3"/>
        <w:spacing w:line="360" w:lineRule="auto"/>
        <w:jc w:val="both"/>
        <w:rPr>
          <w:sz w:val="28"/>
          <w:szCs w:val="28"/>
        </w:rPr>
      </w:pPr>
      <w:r w:rsidRPr="009C6E40">
        <w:rPr>
          <w:rStyle w:val="fadeinpfttw8"/>
          <w:sz w:val="28"/>
          <w:szCs w:val="28"/>
        </w:rPr>
        <w:t>1.2. Overview of Patient Education in Chronic Disease Management</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lastRenderedPageBreak/>
        <w:t>Patient education is a fundamental pillar of effective chronic disease management. As chronic conditions require long-term care and behavioral adaptation, educating patients about their illness, treatment options, and self-care strategies is essential for improving outcomes, enhancing quality of life, and promoting adherence to prescribed regimens [22]. Unlike acute care, where interventions are typically short-term and clinician-directed, chronic disease management necessitates active and sustained patient engagement—something that cannot be achieved without a solid foundation of knowledge and understanding.</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Concept and Goals of Patient Education</w:t>
      </w:r>
      <w:r>
        <w:rPr>
          <w:sz w:val="28"/>
          <w:szCs w:val="28"/>
          <w:lang w:val="uk-UA"/>
        </w:rPr>
        <w:t xml:space="preserve">. </w:t>
      </w:r>
      <w:r w:rsidRPr="009C6E40">
        <w:rPr>
          <w:rStyle w:val="fadeinpfttw8"/>
          <w:sz w:val="28"/>
          <w:szCs w:val="28"/>
        </w:rPr>
        <w:t>Patient education refers to a planned, systematic process of providing individuals with the information and skills necessary to influence their health-related behaviors. It involves more than the transmission of medical facts—it encompasses the development of competencies in self-monitoring, problem-solving, decision-making, and communication with healthcare providers [23]. In the context of chronic diseases, education aims to empower patients to take control of their health, prevent complications, and adhere to treatment protocols.</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The World Health Organization emphasizes that informed patients are more likely to engage in shared decision-making, follow medical advice, and participate in preventive care [24]. Furthermore, education contributes to increased health literacy, defined as the capacity to obtain, process, and understand basic health information needed to make appropriate health decisions [25]. This is particularly critical in chronic illnesses such as IBD, where complex therapeutic regimens and variable disease trajectories may overwhelm patients without appropriate guidance.</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Types and Methods of Educational Interventions</w:t>
      </w:r>
      <w:r>
        <w:rPr>
          <w:sz w:val="28"/>
          <w:szCs w:val="28"/>
          <w:lang w:val="uk-UA"/>
        </w:rPr>
        <w:t xml:space="preserve">. </w:t>
      </w:r>
      <w:r w:rsidRPr="009C6E40">
        <w:rPr>
          <w:rStyle w:val="fadeinpfttw8"/>
          <w:sz w:val="28"/>
          <w:szCs w:val="28"/>
        </w:rPr>
        <w:t>Educational strategies in chronic disease management can take various forms: individual counseling, group education sessions, printed materials (booklets, brochures), audiovisual resources, and digital health tools such as mobile apps and online platforms [26]. These interventions may be delivered in hospital settings, outpatient clinics, or community-based programs, and can be tailored to patients’ age, cultural background, education level, and disease stage.</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lastRenderedPageBreak/>
        <w:t xml:space="preserve">Evidence suggests that </w:t>
      </w:r>
      <w:r w:rsidRPr="009C6E40">
        <w:rPr>
          <w:rStyle w:val="fadeinpfttw8"/>
          <w:b/>
          <w:bCs/>
          <w:sz w:val="28"/>
          <w:szCs w:val="28"/>
        </w:rPr>
        <w:t>multimodal and personalized educational interventions</w:t>
      </w:r>
      <w:r w:rsidRPr="009C6E40">
        <w:rPr>
          <w:rStyle w:val="fadeinpfttw8"/>
          <w:sz w:val="28"/>
          <w:szCs w:val="28"/>
        </w:rPr>
        <w:t xml:space="preserve"> are more effective than generic or one-time approaches. Combining verbal instruction with visual aids and written resources facilitates retention and application of knowledge [27]. Follow-up sessions, practical demonstrations, and behavioral coaching enhance the likelihood of long-term adherence. Importantly, interactive methods that encourage patient questions and active participation are more impactful than passive information delivery [28].</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 xml:space="preserve">In recent years, </w:t>
      </w:r>
      <w:r w:rsidRPr="009C6E40">
        <w:rPr>
          <w:rStyle w:val="fadeinpfttw8"/>
          <w:b/>
          <w:bCs/>
          <w:sz w:val="28"/>
          <w:szCs w:val="28"/>
        </w:rPr>
        <w:t>digital health technologies</w:t>
      </w:r>
      <w:r w:rsidRPr="009C6E40">
        <w:rPr>
          <w:rStyle w:val="fadeinpfttw8"/>
          <w:sz w:val="28"/>
          <w:szCs w:val="28"/>
        </w:rPr>
        <w:t xml:space="preserve"> have expanded the reach of patient education. Mobile apps for medication reminders, symptom tracking, and educational videos are increasingly used in chronic care models, especially among younger and tech-savvy populations. However, the digital divide remains a barrier for older adults and underserved groups, reinforcing the continued importance of face-to-face education in nursing practice [29].</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Patient Education as a Clinical Responsibility</w:t>
      </w:r>
      <w:r>
        <w:rPr>
          <w:sz w:val="28"/>
          <w:szCs w:val="28"/>
          <w:lang w:val="uk-UA"/>
        </w:rPr>
        <w:t xml:space="preserve">. </w:t>
      </w:r>
      <w:r w:rsidRPr="009C6E40">
        <w:rPr>
          <w:rStyle w:val="fadeinpfttw8"/>
          <w:sz w:val="28"/>
          <w:szCs w:val="28"/>
        </w:rPr>
        <w:t xml:space="preserve">Patient education is not the sole domain of physicians. Nurses, pharmacists, dietitians, and other allied health professionals play crucial roles in supporting patients' understanding of their condition. Among these, </w:t>
      </w:r>
      <w:r w:rsidRPr="009C6E40">
        <w:rPr>
          <w:rStyle w:val="fadeinpfttw8"/>
          <w:b/>
          <w:bCs/>
          <w:sz w:val="28"/>
          <w:szCs w:val="28"/>
        </w:rPr>
        <w:t>nurses are uniquely positioned</w:t>
      </w:r>
      <w:r w:rsidRPr="009C6E40">
        <w:rPr>
          <w:rStyle w:val="fadeinpfttw8"/>
          <w:sz w:val="28"/>
          <w:szCs w:val="28"/>
        </w:rPr>
        <w:t xml:space="preserve"> due to the frequency and depth of their interaction with patients throughout the care continuum. As trusted professionals, nurses often serve as the primary source of information and emotional support, especially in chronic conditions where long-term relationships are formed [30].</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Nursing-led education has been proven effective in managing diseases such as diabetes, hypertension, heart failure, and asthma. In these contexts, structured nursing interventions improve medication adherence, reduce hospital admissions, and enhance patients' sense of control over their health [31]. Applying similar principles to IBD care holds promise, although literature in this area remains limited and underdeveloped.</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Barriers to Effective Patient Education</w:t>
      </w:r>
      <w:r>
        <w:rPr>
          <w:sz w:val="28"/>
          <w:szCs w:val="28"/>
          <w:lang w:val="uk-UA"/>
        </w:rPr>
        <w:t xml:space="preserve">. </w:t>
      </w:r>
      <w:r w:rsidRPr="009C6E40">
        <w:rPr>
          <w:rStyle w:val="fadeinpfttw8"/>
          <w:sz w:val="28"/>
          <w:szCs w:val="28"/>
        </w:rPr>
        <w:t xml:space="preserve">Despite its proven benefits, patient education often receives insufficient attention in clinical settings. Common barriers include time constraints, high patient loads, lack of educational materials, insufficient staff training, and organizational policies that prioritize curative procedures over preventive strategies </w:t>
      </w:r>
      <w:r w:rsidRPr="009C6E40">
        <w:rPr>
          <w:rStyle w:val="fadeinpfttw8"/>
          <w:sz w:val="28"/>
          <w:szCs w:val="28"/>
        </w:rPr>
        <w:lastRenderedPageBreak/>
        <w:t>[32]. On the patient side, low literacy levels, language barriers, cultural differences, cognitive impairments, and denial of illness can hinder the effectiveness of education.</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Healthcare providers may also underestimate patients’ desire or ability to learn, which results in superficial or inconsistent educational efforts. These challenges are exacerbated in systems where education is not formally recognized as part of routine nursing duties, leading to its neglect in clinical workflows [33]. Addressing these systemic gaps is necessary to fully integrate education into chronic disease care.</w:t>
      </w:r>
    </w:p>
    <w:p w:rsidR="009C6E40" w:rsidRPr="009C6E40" w:rsidRDefault="009C6E40" w:rsidP="009C6E40">
      <w:pPr>
        <w:pStyle w:val="a4"/>
        <w:spacing w:line="360" w:lineRule="auto"/>
        <w:ind w:firstLine="708"/>
        <w:jc w:val="both"/>
        <w:rPr>
          <w:sz w:val="28"/>
          <w:szCs w:val="28"/>
        </w:rPr>
      </w:pPr>
      <w:r w:rsidRPr="009C6E40">
        <w:rPr>
          <w:rStyle w:val="fadeinpfttw8"/>
          <w:b/>
          <w:bCs/>
          <w:sz w:val="28"/>
          <w:szCs w:val="28"/>
        </w:rPr>
        <w:t>The Need for Tailored Educational Models in IBD</w:t>
      </w:r>
      <w:r>
        <w:rPr>
          <w:sz w:val="28"/>
          <w:szCs w:val="28"/>
          <w:lang w:val="uk-UA"/>
        </w:rPr>
        <w:t xml:space="preserve">. </w:t>
      </w:r>
      <w:r w:rsidRPr="009C6E40">
        <w:rPr>
          <w:rStyle w:val="fadeinpfttw8"/>
          <w:sz w:val="28"/>
          <w:szCs w:val="28"/>
        </w:rPr>
        <w:t>Given the complexity of IBD management and the psychological toll of living with an unpredictable, incurable illness, patient education in this context must go beyond basic disease information. It should address emotional coping, treatment side effects, dietary management, and lifestyle adaptation. Patients need tools to navigate uncertainty, recognize warning signs, and communicate effectively with their healthcare team.</w:t>
      </w:r>
    </w:p>
    <w:p w:rsidR="009C6E40" w:rsidRPr="009C6E40" w:rsidRDefault="009C6E40" w:rsidP="009C6E40">
      <w:pPr>
        <w:pStyle w:val="a4"/>
        <w:spacing w:line="360" w:lineRule="auto"/>
        <w:ind w:firstLine="708"/>
        <w:jc w:val="both"/>
        <w:rPr>
          <w:sz w:val="28"/>
          <w:szCs w:val="28"/>
        </w:rPr>
      </w:pPr>
      <w:r w:rsidRPr="009C6E40">
        <w:rPr>
          <w:rStyle w:val="fadeinpfttw8"/>
          <w:sz w:val="28"/>
          <w:szCs w:val="28"/>
        </w:rPr>
        <w:t>Despite the urgent need, many IBD patients report feeling unprepared to manage their disease, especially at the time of diagnosis or treatment changes [34]. Standardized and evidence-based educational models tailored to IBD patients—delivered by skilled nursing professionals—can fill this void. Such models must be flexible, culturally sensitive, and adaptable to different healthcare settings, including outpatient and home-based care.</w:t>
      </w:r>
    </w:p>
    <w:p w:rsidR="00F17547" w:rsidRPr="00F17547" w:rsidRDefault="00F17547" w:rsidP="00F17547"/>
    <w:p w:rsidR="00F17547" w:rsidRPr="00F17547" w:rsidRDefault="00F17547" w:rsidP="00F17547">
      <w:pPr>
        <w:spacing w:before="100" w:beforeAutospacing="1" w:after="100" w:afterAutospacing="1" w:line="360" w:lineRule="auto"/>
        <w:jc w:val="both"/>
        <w:outlineLvl w:val="2"/>
        <w:rPr>
          <w:b/>
          <w:bCs/>
          <w:sz w:val="28"/>
          <w:szCs w:val="28"/>
        </w:rPr>
      </w:pPr>
      <w:r w:rsidRPr="00F17547">
        <w:rPr>
          <w:b/>
          <w:bCs/>
          <w:sz w:val="28"/>
          <w:szCs w:val="28"/>
        </w:rPr>
        <w:t>1.3. The Role of Nursing in Enhancing Adherence: Models and Principles</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Medication adherence is one of the most critical determinants of treatment success in chronic diseases, including inflammatory bowel diseases (IBD). Despite advances in pharmacotherapy, a substantial proportion of patients with IBD fail to adhere to prescribed treatments, which contributes to disease exacerbation, increased healthcare utilization, and poor quality of life [35]. Nurses, as accessible and trusted healthcare providers, play a pivotal role in promoting adherence through education, counseling, and long-term patient engagement.</w:t>
      </w:r>
    </w:p>
    <w:p w:rsidR="00F17547" w:rsidRPr="00F17547" w:rsidRDefault="00F17547" w:rsidP="00F17547">
      <w:pPr>
        <w:spacing w:before="100" w:beforeAutospacing="1" w:after="100" w:afterAutospacing="1" w:line="360" w:lineRule="auto"/>
        <w:jc w:val="both"/>
        <w:rPr>
          <w:sz w:val="28"/>
          <w:szCs w:val="28"/>
        </w:rPr>
      </w:pPr>
      <w:r w:rsidRPr="00F17547">
        <w:rPr>
          <w:b/>
          <w:bCs/>
          <w:sz w:val="28"/>
          <w:szCs w:val="28"/>
        </w:rPr>
        <w:lastRenderedPageBreak/>
        <w:t>Understanding Adherence and Its Dimensions</w:t>
      </w:r>
      <w:r w:rsidRPr="00F17547">
        <w:rPr>
          <w:sz w:val="28"/>
          <w:szCs w:val="28"/>
        </w:rPr>
        <w:br/>
        <w:t>Adherence is defined as the extent to which a patient's behavior—taking medication, following a diet, or executing lifestyle changes—corresponds with agreed recommendations from a healthcare provider [36]. It is a dynamic and multidimensional construct influenced by several interrelated factors: patient knowledge, health literacy, emotional state, provider-patient communication, treatment complexity, and support systems.</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In the context of IBD, adherence is often challenged by the chronic nature of the disease, asymptomatic periods, fear of side effects, polypharmacy, and psychological fatigue. Patients may discontinue treatment during remission or adjust dosages without consulting healthcare providers [37]. Nursing interventions are essential in recognizing these patterns and addressing the root causes of non-adherence through personalized, proactive strategies.</w:t>
      </w:r>
    </w:p>
    <w:p w:rsidR="00F17547" w:rsidRPr="00F17547" w:rsidRDefault="00F17547" w:rsidP="00F17547">
      <w:pPr>
        <w:spacing w:before="100" w:beforeAutospacing="1" w:after="100" w:afterAutospacing="1" w:line="360" w:lineRule="auto"/>
        <w:jc w:val="both"/>
        <w:rPr>
          <w:sz w:val="28"/>
          <w:szCs w:val="28"/>
        </w:rPr>
      </w:pPr>
      <w:r w:rsidRPr="00F17547">
        <w:rPr>
          <w:b/>
          <w:bCs/>
          <w:sz w:val="28"/>
          <w:szCs w:val="28"/>
        </w:rPr>
        <w:t>Nursing Models Relevant to Adherence Support</w:t>
      </w:r>
      <w:r w:rsidRPr="00F17547">
        <w:rPr>
          <w:sz w:val="28"/>
          <w:szCs w:val="28"/>
        </w:rPr>
        <w:br/>
        <w:t xml:space="preserve">Several nursing theories and models guide the development of adherence-promoting interventions. One of the most widely used is Orem’s </w:t>
      </w:r>
      <w:r w:rsidRPr="00F17547">
        <w:rPr>
          <w:b/>
          <w:bCs/>
          <w:sz w:val="28"/>
          <w:szCs w:val="28"/>
        </w:rPr>
        <w:t>Self-Care Deficit Nursing Theory</w:t>
      </w:r>
      <w:r w:rsidRPr="00F17547">
        <w:rPr>
          <w:sz w:val="28"/>
          <w:szCs w:val="28"/>
        </w:rPr>
        <w:t>, which emphasizes the importance of supporting patients in managing their own care when they are unable to do so independently [38]. In IBD care, nurses act as facilitators of self-care by providing information, motivation, and tools for decision-making.</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 xml:space="preserve">Another relevant model is the </w:t>
      </w:r>
      <w:r w:rsidRPr="00F17547">
        <w:rPr>
          <w:b/>
          <w:bCs/>
          <w:sz w:val="28"/>
          <w:szCs w:val="28"/>
        </w:rPr>
        <w:t>Health Belief Model (HBM)</w:t>
      </w:r>
      <w:r w:rsidRPr="00F17547">
        <w:rPr>
          <w:sz w:val="28"/>
          <w:szCs w:val="28"/>
        </w:rPr>
        <w:t>, which postulates that individuals are more likely to follow medical advice if they perceive a personal risk from disease, believe in the efficacy of treatment, and feel empowered to take action [39]. Nurses can influence these perceptions by explaining risks, benefits, and consequences in understandable and meaningful terms.</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 xml:space="preserve">The </w:t>
      </w:r>
      <w:r w:rsidRPr="00F17547">
        <w:rPr>
          <w:b/>
          <w:bCs/>
          <w:sz w:val="28"/>
          <w:szCs w:val="28"/>
        </w:rPr>
        <w:t>Chronic Care Model (CCM)</w:t>
      </w:r>
      <w:r w:rsidRPr="00F17547">
        <w:rPr>
          <w:sz w:val="28"/>
          <w:szCs w:val="28"/>
        </w:rPr>
        <w:t xml:space="preserve"> also provides a comprehensive framework for managing long-term illnesses. It emphasizes productive interactions between informed, activated patients and a prepared, proactive healthcare team. Nurses are key players in this model, particularly in delivering structured education, coordinating care, and reinforcing adherence behaviors [40].</w:t>
      </w:r>
    </w:p>
    <w:p w:rsidR="00F17547" w:rsidRPr="00F17547" w:rsidRDefault="00F17547" w:rsidP="00F17547">
      <w:pPr>
        <w:spacing w:before="100" w:beforeAutospacing="1" w:after="100" w:afterAutospacing="1" w:line="360" w:lineRule="auto"/>
        <w:jc w:val="both"/>
        <w:rPr>
          <w:sz w:val="28"/>
          <w:szCs w:val="28"/>
        </w:rPr>
      </w:pPr>
      <w:r w:rsidRPr="00F17547">
        <w:rPr>
          <w:b/>
          <w:bCs/>
          <w:sz w:val="28"/>
          <w:szCs w:val="28"/>
        </w:rPr>
        <w:lastRenderedPageBreak/>
        <w:t>Nursing Strategies to Improve Adherence</w:t>
      </w:r>
      <w:r w:rsidRPr="00F17547">
        <w:rPr>
          <w:sz w:val="28"/>
          <w:szCs w:val="28"/>
        </w:rPr>
        <w:br/>
        <w:t>Based on these theoretical frameworks, nursing interventions can be tailored to address specific barriers to adherence in IBD. Strategies include:</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Educational Counseling:</w:t>
      </w:r>
      <w:r w:rsidRPr="00F17547">
        <w:rPr>
          <w:sz w:val="28"/>
          <w:szCs w:val="28"/>
        </w:rPr>
        <w:t xml:space="preserve"> Providing clear, consistent, and repeated information about disease mechanisms, treatment goals, and medication side effects.</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Motivational Interviewing:</w:t>
      </w:r>
      <w:r w:rsidRPr="00F17547">
        <w:rPr>
          <w:sz w:val="28"/>
          <w:szCs w:val="28"/>
        </w:rPr>
        <w:t xml:space="preserve"> Engaging patients in collaborative discussions to explore ambivalence and encourage commitment to therapy.</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Reminders and Follow-Ups:</w:t>
      </w:r>
      <w:r w:rsidRPr="00F17547">
        <w:rPr>
          <w:sz w:val="28"/>
          <w:szCs w:val="28"/>
        </w:rPr>
        <w:t xml:space="preserve"> Utilizing text messages, phone calls, or apps to prompt medication intake and appointment attendance.</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Assessment Tools:</w:t>
      </w:r>
      <w:r w:rsidRPr="00F17547">
        <w:rPr>
          <w:sz w:val="28"/>
          <w:szCs w:val="28"/>
        </w:rPr>
        <w:t xml:space="preserve"> Regular use of validated instruments (e.g., MMAS-8) to identify adherence problems and adjust interventions accordingly.</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Psychosocial Support:</w:t>
      </w:r>
      <w:r w:rsidRPr="00F17547">
        <w:rPr>
          <w:sz w:val="28"/>
          <w:szCs w:val="28"/>
        </w:rPr>
        <w:t xml:space="preserve"> Recognizing and addressing anxiety, depression, or denial, often with referrals to mental health professionals when necessary.</w:t>
      </w:r>
    </w:p>
    <w:p w:rsidR="00F17547" w:rsidRPr="00F17547" w:rsidRDefault="00F17547" w:rsidP="0017650E">
      <w:pPr>
        <w:numPr>
          <w:ilvl w:val="0"/>
          <w:numId w:val="3"/>
        </w:numPr>
        <w:spacing w:before="100" w:beforeAutospacing="1" w:after="100" w:afterAutospacing="1" w:line="360" w:lineRule="auto"/>
        <w:jc w:val="both"/>
        <w:rPr>
          <w:sz w:val="28"/>
          <w:szCs w:val="28"/>
        </w:rPr>
      </w:pPr>
      <w:r w:rsidRPr="00F17547">
        <w:rPr>
          <w:b/>
          <w:bCs/>
          <w:sz w:val="28"/>
          <w:szCs w:val="28"/>
        </w:rPr>
        <w:t>Family Involvement:</w:t>
      </w:r>
      <w:r w:rsidRPr="00F17547">
        <w:rPr>
          <w:sz w:val="28"/>
          <w:szCs w:val="28"/>
        </w:rPr>
        <w:t xml:space="preserve"> Involving caregivers and family members in the educational process to build a stronger support network.</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These interventions not only improve adherence but also foster a sense of trust, reduce patient isolation, and create a collaborative care environment. When nurses are empowered with adequate training, time, and institutional support, their ability to influence patient behavior increases substantially.</w:t>
      </w:r>
    </w:p>
    <w:p w:rsidR="00F17547" w:rsidRPr="00F17547" w:rsidRDefault="00F17547" w:rsidP="00F17547">
      <w:pPr>
        <w:spacing w:before="100" w:beforeAutospacing="1" w:after="100" w:afterAutospacing="1" w:line="360" w:lineRule="auto"/>
        <w:jc w:val="both"/>
        <w:rPr>
          <w:sz w:val="28"/>
          <w:szCs w:val="28"/>
        </w:rPr>
      </w:pPr>
      <w:r w:rsidRPr="00F17547">
        <w:rPr>
          <w:b/>
          <w:bCs/>
          <w:sz w:val="28"/>
          <w:szCs w:val="28"/>
        </w:rPr>
        <w:t>Schematic Representation of Adherence Influencers</w:t>
      </w:r>
      <w:r w:rsidRPr="00F17547">
        <w:rPr>
          <w:sz w:val="28"/>
          <w:szCs w:val="28"/>
        </w:rPr>
        <w:br/>
        <w:t>The figure below illustrates the multifactorial nature of medication adherence and the central role of nursing education in influencing it. Key contributing elements include:</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Patient Education</w:t>
      </w:r>
      <w:r w:rsidRPr="00F17547">
        <w:rPr>
          <w:sz w:val="28"/>
          <w:szCs w:val="28"/>
        </w:rPr>
        <w:t>: Enhances understanding and motivation.</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Disease Understanding</w:t>
      </w:r>
      <w:r w:rsidRPr="00F17547">
        <w:rPr>
          <w:sz w:val="28"/>
          <w:szCs w:val="28"/>
        </w:rPr>
        <w:t>: Clarifies the rationale for long-term treatment.</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Nurse-Patient Communication</w:t>
      </w:r>
      <w:r w:rsidRPr="00F17547">
        <w:rPr>
          <w:sz w:val="28"/>
          <w:szCs w:val="28"/>
        </w:rPr>
        <w:t>: Builds trust and promotes openness.</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Psychosocial Support</w:t>
      </w:r>
      <w:r w:rsidRPr="00F17547">
        <w:rPr>
          <w:sz w:val="28"/>
          <w:szCs w:val="28"/>
        </w:rPr>
        <w:t>: Addresses mental health and emotional resilience.</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Health Literacy</w:t>
      </w:r>
      <w:r w:rsidRPr="00F17547">
        <w:rPr>
          <w:sz w:val="28"/>
          <w:szCs w:val="28"/>
        </w:rPr>
        <w:t>: Enables informed decision-making.</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t>Reminder Systems</w:t>
      </w:r>
      <w:r w:rsidRPr="00F17547">
        <w:rPr>
          <w:sz w:val="28"/>
          <w:szCs w:val="28"/>
        </w:rPr>
        <w:t>: Reinforce routines and reduce forgetfulness.</w:t>
      </w:r>
    </w:p>
    <w:p w:rsidR="00F17547" w:rsidRPr="00F17547" w:rsidRDefault="00F17547" w:rsidP="0017650E">
      <w:pPr>
        <w:numPr>
          <w:ilvl w:val="0"/>
          <w:numId w:val="4"/>
        </w:numPr>
        <w:spacing w:before="100" w:beforeAutospacing="1" w:after="100" w:afterAutospacing="1" w:line="360" w:lineRule="auto"/>
        <w:jc w:val="both"/>
        <w:rPr>
          <w:sz w:val="28"/>
          <w:szCs w:val="28"/>
        </w:rPr>
      </w:pPr>
      <w:r w:rsidRPr="00F17547">
        <w:rPr>
          <w:b/>
          <w:bCs/>
          <w:sz w:val="28"/>
          <w:szCs w:val="28"/>
        </w:rPr>
        <w:lastRenderedPageBreak/>
        <w:t>Side Effect Management</w:t>
      </w:r>
      <w:r w:rsidRPr="00F17547">
        <w:rPr>
          <w:sz w:val="28"/>
          <w:szCs w:val="28"/>
        </w:rPr>
        <w:t>: Increases treatment tolerability and continuation.</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fldChar w:fldCharType="begin"/>
      </w:r>
      <w:r w:rsidRPr="00F17547">
        <w:rPr>
          <w:sz w:val="28"/>
          <w:szCs w:val="28"/>
        </w:rPr>
        <w:instrText xml:space="preserve"> INCLUDEPICTURE "attachment:image.png" \* MERGEFORMATINET </w:instrText>
      </w:r>
      <w:r w:rsidRPr="00F17547">
        <w:rPr>
          <w:sz w:val="28"/>
          <w:szCs w:val="28"/>
        </w:rPr>
        <w:fldChar w:fldCharType="separate"/>
      </w:r>
      <w:r w:rsidRPr="00F17547">
        <w:rPr>
          <w:noProof/>
          <w:sz w:val="28"/>
          <w:szCs w:val="28"/>
          <w:lang w:val="uk-UA" w:eastAsia="uk-UA"/>
        </w:rPr>
        <mc:AlternateContent>
          <mc:Choice Requires="wps">
            <w:drawing>
              <wp:inline distT="0" distB="0" distL="0" distR="0">
                <wp:extent cx="307975" cy="307975"/>
                <wp:effectExtent l="0" t="0" r="0" b="0"/>
                <wp:docPr id="1467108352" name="Прямоугольник 2" descr="Factors influencing medication adherenc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A8D2217" id="Прямоугольник 2" o:spid="_x0000_s1026" alt="Factors influencing medication adherence"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" filled="f" stroked="f">
                <o:lock v:ext="edit" aspectratio="t"/>
                <w10:anchorlock/>
              </v:rect>
            </w:pict>
          </mc:Fallback>
        </mc:AlternateContent>
      </w:r>
      <w:r w:rsidRPr="00F17547">
        <w:rPr>
          <w:sz w:val="28"/>
          <w:szCs w:val="28"/>
        </w:rPr>
        <w:fldChar w:fldCharType="end"/>
      </w:r>
      <w:r w:rsidRPr="00F17547">
        <w:rPr>
          <w:noProof/>
        </w:rPr>
        <w:t xml:space="preserve"> </w:t>
      </w:r>
      <w:r w:rsidRPr="00F17547">
        <w:rPr>
          <w:noProof/>
          <w:sz w:val="28"/>
          <w:szCs w:val="28"/>
          <w:lang w:val="uk-UA" w:eastAsia="uk-UA"/>
        </w:rPr>
        <w:drawing>
          <wp:inline distT="0" distB="0" distL="0" distR="0" wp14:anchorId="26B4AFFF" wp14:editId="38D86E17">
            <wp:extent cx="6480175" cy="3865880"/>
            <wp:effectExtent l="0" t="0" r="0" b="0"/>
            <wp:docPr id="17313205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320512" name=""/>
                    <pic:cNvPicPr/>
                  </pic:nvPicPr>
                  <pic:blipFill>
                    <a:blip r:embed="rId5"/>
                    <a:stretch>
                      <a:fillRect/>
                    </a:stretch>
                  </pic:blipFill>
                  <pic:spPr>
                    <a:xfrm>
                      <a:off x="0" y="0"/>
                      <a:ext cx="6480175" cy="3865880"/>
                    </a:xfrm>
                    <a:prstGeom prst="rect">
                      <a:avLst/>
                    </a:prstGeom>
                  </pic:spPr>
                </pic:pic>
              </a:graphicData>
            </a:graphic>
          </wp:inline>
        </w:drawing>
      </w:r>
    </w:p>
    <w:p w:rsidR="00F17547" w:rsidRPr="00F17547" w:rsidRDefault="00F17547" w:rsidP="00F17547">
      <w:pPr>
        <w:spacing w:before="100" w:beforeAutospacing="1" w:after="100" w:afterAutospacing="1" w:line="360" w:lineRule="auto"/>
        <w:jc w:val="center"/>
        <w:rPr>
          <w:sz w:val="28"/>
          <w:szCs w:val="28"/>
          <w:lang w:val="en-US"/>
        </w:rPr>
      </w:pPr>
      <w:r>
        <w:rPr>
          <w:sz w:val="28"/>
          <w:szCs w:val="28"/>
          <w:lang w:val="en-US"/>
        </w:rPr>
        <w:t xml:space="preserve">Figure 1.1 – </w:t>
      </w:r>
      <w:r w:rsidRPr="00F17547">
        <w:rPr>
          <w:sz w:val="28"/>
          <w:szCs w:val="28"/>
          <w:lang w:val="en-US"/>
        </w:rPr>
        <w:t>Key Factors Influencing Medication Adherence in Chronic Illness</w:t>
      </w:r>
    </w:p>
    <w:p w:rsidR="00F17547" w:rsidRPr="00F17547" w:rsidRDefault="00F17547" w:rsidP="00F17547">
      <w:pPr>
        <w:spacing w:before="100" w:beforeAutospacing="1" w:after="100" w:afterAutospacing="1" w:line="360" w:lineRule="auto"/>
        <w:jc w:val="both"/>
        <w:rPr>
          <w:sz w:val="28"/>
          <w:szCs w:val="28"/>
        </w:rPr>
      </w:pPr>
      <w:r w:rsidRPr="00F17547">
        <w:rPr>
          <w:sz w:val="28"/>
          <w:szCs w:val="28"/>
        </w:rPr>
        <w:t>By systematically addressing these domains, nurses can significantly impact patient engagement, improve health outcomes, and reduce the burden of chronic gastrointestinal diseases.</w:t>
      </w:r>
    </w:p>
    <w:p w:rsidR="00F17547" w:rsidRPr="00D6189D" w:rsidRDefault="00F17547" w:rsidP="00D6189D">
      <w:pPr>
        <w:spacing w:before="100" w:beforeAutospacing="1" w:after="100" w:afterAutospacing="1" w:line="360" w:lineRule="auto"/>
        <w:jc w:val="both"/>
        <w:rPr>
          <w:sz w:val="28"/>
          <w:szCs w:val="28"/>
        </w:rPr>
      </w:pPr>
      <w:r w:rsidRPr="00F17547">
        <w:rPr>
          <w:b/>
          <w:bCs/>
          <w:sz w:val="28"/>
          <w:szCs w:val="28"/>
        </w:rPr>
        <w:t>Conclusion</w:t>
      </w:r>
      <w:r w:rsidRPr="00F17547">
        <w:rPr>
          <w:sz w:val="28"/>
          <w:szCs w:val="28"/>
        </w:rPr>
        <w:br/>
        <w:t>The nursing profession holds a powerful, yet often underutilized position in enhancing treatment adherence. Integrating evidence-based educational practices, rooted in established theoretical models, allows nurses to deliver care that not only informs but transforms patient behavior. As healthcare systems evolve towards patient-centered, value-based models, the role of nursing in adherence promotion must be recognized as essential and institutionalized within chronic care pathways.</w:t>
      </w:r>
    </w:p>
    <w:p w:rsidR="00D6189D" w:rsidRPr="00D6189D" w:rsidRDefault="00D6189D" w:rsidP="00D6189D">
      <w:pPr>
        <w:pStyle w:val="3"/>
        <w:spacing w:line="360" w:lineRule="auto"/>
        <w:jc w:val="both"/>
        <w:rPr>
          <w:sz w:val="28"/>
          <w:szCs w:val="28"/>
        </w:rPr>
      </w:pPr>
      <w:r w:rsidRPr="00D6189D">
        <w:rPr>
          <w:rStyle w:val="fadeinpfttw8"/>
          <w:sz w:val="28"/>
          <w:szCs w:val="28"/>
        </w:rPr>
        <w:t>1.4. Evidence-Based Educational Interventions in IBD: A Literature Review</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lastRenderedPageBreak/>
        <w:t>Over the past two decades, the global burden of inflammatory bowel diseases (IBD) has prompted increased interest in non-pharmacological interventions that enhance disease control, patient engagement, and long-term outcomes. Among these, patient education has emerged as a cornerstone of comprehensive care. This literature review synthesizes findings from peer-reviewed studies on educational interventions aimed at improving knowledge, adherence, and self-management in patients with Crohn’s disease (CD) and ulcerative colitis (UC).</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The Role of Education in Disease Understanding and Coping</w:t>
      </w:r>
      <w:r w:rsidRPr="00D6189D">
        <w:rPr>
          <w:sz w:val="28"/>
          <w:szCs w:val="28"/>
        </w:rPr>
        <w:br/>
      </w:r>
      <w:r w:rsidRPr="00D6189D">
        <w:rPr>
          <w:rStyle w:val="fadeinpfttw8"/>
          <w:sz w:val="28"/>
          <w:szCs w:val="28"/>
        </w:rPr>
        <w:t>Numerous studies have shown that patients with IBD often experience significant uncertainty, fear, and confusion following diagnosis. Without adequate education, many feel overwhelmed by the complexity of their treatment regimens and uncertain about disease prognosis. A multicenter study by Kemp et al. (2012) found that over 60% of newly diagnosed IBD patients reported insufficient knowledge about their condition, leading to reduced confidence in self-management and greater reliance on emergency services [41].</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t>Education tailored to disease stage has been shown to alleviate anxiety and improve coping skills. For instance, a randomized controlled trial (RCT) by Mätza et al. (2019) demonstrated that early-stage IBD patients who received structured education reported better emotional adjustment and fewer flare-related hospitalizations after one year of follow-up compared to those receiving standard care [42].</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Effectiveness of Nursing-Led Interventions</w:t>
      </w:r>
      <w:r w:rsidRPr="00D6189D">
        <w:rPr>
          <w:sz w:val="28"/>
          <w:szCs w:val="28"/>
        </w:rPr>
        <w:br/>
      </w:r>
      <w:r w:rsidRPr="00D6189D">
        <w:rPr>
          <w:rStyle w:val="fadeinpfttw8"/>
          <w:sz w:val="28"/>
          <w:szCs w:val="28"/>
        </w:rPr>
        <w:t>Nursing professionals have been increasingly recognized as key facilitators of health education in chronic disease management. Several studies confirm the effectiveness of nurse-led interventions in IBD. In a quasi-experimental study by Casellas et al. (2015), patients who received regular counseling from IBD nurse specialists showed a 25% improvement in treatment adherence and significantly higher satisfaction with care than those receiving only physician-led follow-ups [43].</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t xml:space="preserve">A 2020 meta-analysis by Hou et al. reviewed 18 studies on nursing educational programs in chronic gastrointestinal disorders, including IBD, and concluded that nurse-led </w:t>
      </w:r>
      <w:r w:rsidRPr="00D6189D">
        <w:rPr>
          <w:rStyle w:val="fadeinpfttw8"/>
          <w:sz w:val="28"/>
          <w:szCs w:val="28"/>
        </w:rPr>
        <w:lastRenderedPageBreak/>
        <w:t>education resulted in improved knowledge scores, reduced disease activity, and enhanced adherence across diverse populations [44]. Interventions were most effective when individualized, reinforced over time, and accompanied by visual and written materials.</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Multimodal Interventions and Use of Technology</w:t>
      </w:r>
      <w:r w:rsidRPr="00D6189D">
        <w:rPr>
          <w:sz w:val="28"/>
          <w:szCs w:val="28"/>
        </w:rPr>
        <w:br/>
      </w:r>
      <w:r w:rsidRPr="00D6189D">
        <w:rPr>
          <w:rStyle w:val="fadeinpfttw8"/>
          <w:sz w:val="28"/>
          <w:szCs w:val="28"/>
        </w:rPr>
        <w:t>Contemporary educational programs increasingly leverage technology to expand reach and improve engagement. A German pilot study evaluated a digital app—“IBD Smart”—designed to deliver bite-sized educational videos, medication reminders, and self-tracking tools for IBD patients. Participants using the app demonstrated increased medication adherence (as measured by MMAS-8) and higher disease knowledge scores compared to controls [45].</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t>Multimodal strategies, combining face-to-face counseling, mobile health tools, printed guides, and support group integration, have proven especially effective. In a cohort study by Waterman et al. (2014), such an integrated educational approach resulted in a 40% reduction in corticosteroid use among participants, suggesting greater treatment stability and disease control [46].</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Adherence-Oriented Interventions and Outcomes</w:t>
      </w:r>
      <w:r w:rsidRPr="00D6189D">
        <w:rPr>
          <w:sz w:val="28"/>
          <w:szCs w:val="28"/>
        </w:rPr>
        <w:br/>
      </w:r>
      <w:r w:rsidRPr="00D6189D">
        <w:rPr>
          <w:rStyle w:val="fadeinpfttw8"/>
          <w:sz w:val="28"/>
          <w:szCs w:val="28"/>
        </w:rPr>
        <w:t>Several interventional trials have directly examined the impact of education on medication adherence. A prospective study conducted in the Netherlands by Lenti et al. (2021) enrolled 120 IBD patients who received a 6-week nurse-led adherence support program, including motivational interviewing and behavioral coaching. The intervention group demonstrated a 30% increase in adherence and sustained improvements at 6-month follow-up [47].</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t>Educational programs also influence patient behaviors indirectly. A study by Kim et al. (2017) reported that patients who participated in IBD self-management workshops not only improved adherence but also demonstrated increased physical activity, dietary adjustments, and proactive communication with care teams [48].</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Barriers and Limitations Identified in Literature</w:t>
      </w:r>
      <w:r w:rsidRPr="00D6189D">
        <w:rPr>
          <w:sz w:val="28"/>
          <w:szCs w:val="28"/>
        </w:rPr>
        <w:br/>
      </w:r>
      <w:r w:rsidRPr="00D6189D">
        <w:rPr>
          <w:rStyle w:val="fadeinpfttw8"/>
          <w:sz w:val="28"/>
          <w:szCs w:val="28"/>
        </w:rPr>
        <w:t xml:space="preserve">While the evidence supports the effectiveness of educational interventions, several </w:t>
      </w:r>
      <w:r w:rsidRPr="00D6189D">
        <w:rPr>
          <w:rStyle w:val="fadeinpfttw8"/>
          <w:sz w:val="28"/>
          <w:szCs w:val="28"/>
        </w:rPr>
        <w:lastRenderedPageBreak/>
        <w:t>limitations have been identified. These include lack of standardization across studies, small sample sizes, short follow-up periods, and variations in outcome measures. Moreover, some patients report “information fatigue” when overwhelmed with excessive or poorly delivered content [49].</w:t>
      </w:r>
    </w:p>
    <w:p w:rsidR="00D6189D" w:rsidRPr="00D6189D" w:rsidRDefault="00D6189D" w:rsidP="00D6189D">
      <w:pPr>
        <w:pStyle w:val="a4"/>
        <w:spacing w:line="360" w:lineRule="auto"/>
        <w:ind w:firstLine="708"/>
        <w:jc w:val="both"/>
        <w:rPr>
          <w:sz w:val="28"/>
          <w:szCs w:val="28"/>
        </w:rPr>
      </w:pPr>
      <w:r w:rsidRPr="00D6189D">
        <w:rPr>
          <w:rStyle w:val="fadeinpfttw8"/>
          <w:sz w:val="28"/>
          <w:szCs w:val="28"/>
        </w:rPr>
        <w:t>Cultural and linguistic differences, socioeconomic barriers, and digital literacy also affect the efficacy of education, particularly in diverse or underserved populations. Studies recommend adapting materials to local contexts, using plain language, and including family members or caregivers in the educational process [50].</w:t>
      </w:r>
    </w:p>
    <w:p w:rsidR="00D6189D" w:rsidRPr="00D6189D" w:rsidRDefault="00D6189D" w:rsidP="00D6189D">
      <w:pPr>
        <w:pStyle w:val="a4"/>
        <w:spacing w:line="360" w:lineRule="auto"/>
        <w:ind w:firstLine="708"/>
        <w:jc w:val="both"/>
        <w:rPr>
          <w:sz w:val="28"/>
          <w:szCs w:val="28"/>
        </w:rPr>
      </w:pPr>
      <w:r w:rsidRPr="00D6189D">
        <w:rPr>
          <w:rStyle w:val="fadeinpfttw8"/>
          <w:b/>
          <w:bCs/>
          <w:sz w:val="28"/>
          <w:szCs w:val="28"/>
        </w:rPr>
        <w:t>Gaps in Research and Future Directions</w:t>
      </w:r>
      <w:r w:rsidRPr="00D6189D">
        <w:rPr>
          <w:sz w:val="28"/>
          <w:szCs w:val="28"/>
        </w:rPr>
        <w:br/>
      </w:r>
      <w:r w:rsidRPr="00D6189D">
        <w:rPr>
          <w:rStyle w:val="fadeinpfttw8"/>
          <w:sz w:val="28"/>
          <w:szCs w:val="28"/>
        </w:rPr>
        <w:t>Despite promising outcomes, there remains a lack of large-scale, randomized, controlled studies on nurse-led education in IBD care. Few interventions have been rigorously tested for long-term effects or cost-effectiveness. Furthermore, little attention has been paid to the educational needs of adolescents with IBD, patients with comorbid mental health conditions, or those from rural communities.</w:t>
      </w:r>
    </w:p>
    <w:p w:rsidR="00D6189D" w:rsidRPr="00D6189D" w:rsidRDefault="00D6189D" w:rsidP="00D6189D">
      <w:pPr>
        <w:pStyle w:val="a4"/>
        <w:spacing w:line="360" w:lineRule="auto"/>
        <w:ind w:firstLine="360"/>
        <w:jc w:val="both"/>
        <w:rPr>
          <w:sz w:val="28"/>
          <w:szCs w:val="28"/>
        </w:rPr>
      </w:pPr>
      <w:r w:rsidRPr="00D6189D">
        <w:rPr>
          <w:rStyle w:val="fadeinpfttw8"/>
          <w:sz w:val="28"/>
          <w:szCs w:val="28"/>
        </w:rPr>
        <w:t>Future research should focus on:</w:t>
      </w:r>
    </w:p>
    <w:p w:rsidR="00D6189D" w:rsidRPr="00D6189D" w:rsidRDefault="00D6189D" w:rsidP="0017650E">
      <w:pPr>
        <w:pStyle w:val="a4"/>
        <w:numPr>
          <w:ilvl w:val="0"/>
          <w:numId w:val="57"/>
        </w:numPr>
        <w:spacing w:line="360" w:lineRule="auto"/>
        <w:jc w:val="both"/>
        <w:rPr>
          <w:sz w:val="28"/>
          <w:szCs w:val="28"/>
        </w:rPr>
      </w:pPr>
      <w:r w:rsidRPr="00D6189D">
        <w:rPr>
          <w:rStyle w:val="fadeinpfttw8"/>
          <w:sz w:val="28"/>
          <w:szCs w:val="28"/>
        </w:rPr>
        <w:t>Standardizing educational content across institutions.</w:t>
      </w:r>
    </w:p>
    <w:p w:rsidR="00D6189D" w:rsidRPr="00D6189D" w:rsidRDefault="00D6189D" w:rsidP="0017650E">
      <w:pPr>
        <w:pStyle w:val="a4"/>
        <w:numPr>
          <w:ilvl w:val="0"/>
          <w:numId w:val="57"/>
        </w:numPr>
        <w:spacing w:line="360" w:lineRule="auto"/>
        <w:jc w:val="both"/>
        <w:rPr>
          <w:sz w:val="28"/>
          <w:szCs w:val="28"/>
        </w:rPr>
      </w:pPr>
      <w:r w:rsidRPr="00D6189D">
        <w:rPr>
          <w:rStyle w:val="fadeinpfttw8"/>
          <w:sz w:val="28"/>
          <w:szCs w:val="28"/>
        </w:rPr>
        <w:t>Evaluating long-term adherence and clinical outcomes.</w:t>
      </w:r>
    </w:p>
    <w:p w:rsidR="00D6189D" w:rsidRPr="00D6189D" w:rsidRDefault="00D6189D" w:rsidP="0017650E">
      <w:pPr>
        <w:pStyle w:val="a4"/>
        <w:numPr>
          <w:ilvl w:val="0"/>
          <w:numId w:val="57"/>
        </w:numPr>
        <w:spacing w:line="360" w:lineRule="auto"/>
        <w:jc w:val="both"/>
        <w:rPr>
          <w:sz w:val="28"/>
          <w:szCs w:val="28"/>
        </w:rPr>
      </w:pPr>
      <w:r w:rsidRPr="00D6189D">
        <w:rPr>
          <w:rStyle w:val="fadeinpfttw8"/>
          <w:sz w:val="28"/>
          <w:szCs w:val="28"/>
        </w:rPr>
        <w:t>Integrating digital tools with nurse-led follow-ups.</w:t>
      </w:r>
    </w:p>
    <w:p w:rsidR="00D6189D" w:rsidRPr="00D6189D" w:rsidRDefault="00D6189D" w:rsidP="0017650E">
      <w:pPr>
        <w:pStyle w:val="a4"/>
        <w:numPr>
          <w:ilvl w:val="0"/>
          <w:numId w:val="57"/>
        </w:numPr>
        <w:spacing w:line="360" w:lineRule="auto"/>
        <w:jc w:val="both"/>
        <w:rPr>
          <w:sz w:val="28"/>
          <w:szCs w:val="28"/>
        </w:rPr>
      </w:pPr>
      <w:r w:rsidRPr="00D6189D">
        <w:rPr>
          <w:rStyle w:val="fadeinpfttw8"/>
          <w:sz w:val="28"/>
          <w:szCs w:val="28"/>
        </w:rPr>
        <w:t>Developing education models for underrepresented populations.</w:t>
      </w:r>
    </w:p>
    <w:p w:rsidR="00C6525B" w:rsidRPr="00C6525B" w:rsidRDefault="00C6525B" w:rsidP="00C6525B">
      <w:pPr>
        <w:pStyle w:val="3"/>
        <w:spacing w:line="360" w:lineRule="auto"/>
        <w:jc w:val="both"/>
        <w:rPr>
          <w:sz w:val="28"/>
          <w:szCs w:val="28"/>
        </w:rPr>
      </w:pPr>
      <w:r w:rsidRPr="00C6525B">
        <w:rPr>
          <w:rStyle w:val="fadeinpfttw8"/>
          <w:sz w:val="28"/>
          <w:szCs w:val="28"/>
        </w:rPr>
        <w:t xml:space="preserve">1.5. </w:t>
      </w:r>
      <w:r w:rsidR="00D6189D" w:rsidRPr="00463E26">
        <w:rPr>
          <w:sz w:val="28"/>
          <w:szCs w:val="28"/>
        </w:rPr>
        <w:t>Role of the Nurse in IBD Management</w:t>
      </w:r>
    </w:p>
    <w:p w:rsidR="00C6525B" w:rsidRPr="00C6525B" w:rsidRDefault="00C6525B" w:rsidP="00C6525B">
      <w:pPr>
        <w:pStyle w:val="a4"/>
        <w:spacing w:line="360" w:lineRule="auto"/>
        <w:ind w:firstLine="708"/>
        <w:jc w:val="both"/>
        <w:rPr>
          <w:sz w:val="28"/>
          <w:szCs w:val="28"/>
        </w:rPr>
      </w:pPr>
      <w:r w:rsidRPr="00C6525B">
        <w:rPr>
          <w:rStyle w:val="fadeinpfttw8"/>
          <w:sz w:val="28"/>
          <w:szCs w:val="28"/>
        </w:rPr>
        <w:t>This chapter has explored the theoretical and empirical foundations underpinning the role of nursing education in managing inflammatory bowel diseases (IBD). The review of literature and current practice models demonstrates that IBD—comprising Crohn’s disease and ulcerative colitis—is a complex, lifelong condition that imposes a considerable burden on patients and healthcare systems alike. Successful long-term management requires not only effective pharmacotherapy but also strong patient engagement, emotional resilience, and adherence to treatment regimens.</w:t>
      </w:r>
    </w:p>
    <w:p w:rsidR="00C6525B" w:rsidRPr="00C6525B" w:rsidRDefault="00C6525B" w:rsidP="00C6525B">
      <w:pPr>
        <w:pStyle w:val="a4"/>
        <w:spacing w:line="360" w:lineRule="auto"/>
        <w:ind w:firstLine="708"/>
        <w:jc w:val="both"/>
        <w:rPr>
          <w:sz w:val="28"/>
          <w:szCs w:val="28"/>
        </w:rPr>
      </w:pPr>
      <w:r w:rsidRPr="00C6525B">
        <w:rPr>
          <w:rStyle w:val="fadeinpfttw8"/>
          <w:sz w:val="28"/>
          <w:szCs w:val="28"/>
        </w:rPr>
        <w:lastRenderedPageBreak/>
        <w:t>The chapter began with an in-depth overview of IBD pathophysiology, epidemiology, and clinical burden, highlighting the multifactorial nature of the disease and the rising global prevalence. These trends underscore the urgency of implementing interventions that go beyond medical prescriptions and address the behavioral and educational dimensions of care.</w:t>
      </w:r>
    </w:p>
    <w:p w:rsidR="00C6525B" w:rsidRPr="00C6525B" w:rsidRDefault="00C6525B" w:rsidP="00C6525B">
      <w:pPr>
        <w:pStyle w:val="a4"/>
        <w:spacing w:line="360" w:lineRule="auto"/>
        <w:ind w:firstLine="708"/>
        <w:jc w:val="both"/>
        <w:rPr>
          <w:sz w:val="28"/>
          <w:szCs w:val="28"/>
        </w:rPr>
      </w:pPr>
      <w:r w:rsidRPr="00C6525B">
        <w:rPr>
          <w:rStyle w:val="fadeinpfttw8"/>
          <w:sz w:val="28"/>
          <w:szCs w:val="28"/>
        </w:rPr>
        <w:t>A thorough examination of patient education in chronic disease management revealed that it is a cornerstone of modern nursing practice, with the potential to transform passive patients into active partners in their own health. Education improves disease understanding, fosters self-management, and directly impacts adherence. However, the success of educational interventions depends on their delivery: content must be relevant, methods should be multimodal, and nurses must be empowered to tailor support to individual needs.</w:t>
      </w:r>
    </w:p>
    <w:p w:rsidR="00C6525B" w:rsidRPr="00C6525B" w:rsidRDefault="00C6525B" w:rsidP="00C6525B">
      <w:pPr>
        <w:pStyle w:val="a4"/>
        <w:spacing w:line="360" w:lineRule="auto"/>
        <w:ind w:firstLine="708"/>
        <w:jc w:val="both"/>
        <w:rPr>
          <w:sz w:val="28"/>
          <w:szCs w:val="28"/>
        </w:rPr>
      </w:pPr>
      <w:r w:rsidRPr="00C6525B">
        <w:rPr>
          <w:rStyle w:val="fadeinpfttw8"/>
          <w:sz w:val="28"/>
          <w:szCs w:val="28"/>
        </w:rPr>
        <w:t>The chapter also outlined key nursing theories—such as Orem’s Self-Care Theory and the Health Belief Model—that provide conceptual guidance for designing adherence-promoting interventions. Informed by these frameworks, nursing strategies can address various barriers to compliance, including low health literacy, emotional distress, and fear of treatment side effects.</w:t>
      </w:r>
    </w:p>
    <w:p w:rsidR="00C6525B" w:rsidRPr="00C6525B" w:rsidRDefault="00C6525B" w:rsidP="00C6525B">
      <w:pPr>
        <w:pStyle w:val="a4"/>
        <w:spacing w:line="360" w:lineRule="auto"/>
        <w:ind w:firstLine="708"/>
        <w:jc w:val="both"/>
        <w:rPr>
          <w:sz w:val="28"/>
          <w:szCs w:val="28"/>
        </w:rPr>
      </w:pPr>
      <w:r w:rsidRPr="00C6525B">
        <w:rPr>
          <w:rStyle w:val="fadeinpfttw8"/>
          <w:sz w:val="28"/>
          <w:szCs w:val="28"/>
        </w:rPr>
        <w:t>A comprehensive review of the literature confirmed the effectiveness of nurse-led educational programs in improving treatment adherence, knowledge, and overall disease outcomes. These benefits have been demonstrated across multiple studies and care settings, though significant gaps remain. Current challenges include the lack of standardized protocols, insufficient integration of digital tools, and the need for research in diverse populations.</w:t>
      </w:r>
    </w:p>
    <w:p w:rsidR="00CA36C7" w:rsidRDefault="00C6525B" w:rsidP="00C6525B">
      <w:pPr>
        <w:pStyle w:val="a4"/>
        <w:spacing w:line="360" w:lineRule="auto"/>
        <w:jc w:val="both"/>
        <w:rPr>
          <w:rStyle w:val="fadeinpfttw8"/>
          <w:sz w:val="28"/>
          <w:szCs w:val="28"/>
        </w:rPr>
      </w:pPr>
      <w:r w:rsidRPr="00C6525B">
        <w:rPr>
          <w:rStyle w:val="fadeinpfttw8"/>
          <w:sz w:val="28"/>
          <w:szCs w:val="28"/>
        </w:rPr>
        <w:t>Taken together, the theoretical evidence strongly supports the integration of structured nursing education into standard IBD care. Doing so can significantly enhance adherence, reduce disease complications, and improve the quality of life for patients. This sets the stage for the next chapter, which will detail the methodology and implementation of a targeted educational intervention designed to evaluate these effects in practice.</w:t>
      </w:r>
    </w:p>
    <w:p w:rsidR="00CA36C7" w:rsidRPr="00CA36C7" w:rsidRDefault="00CA36C7" w:rsidP="00CA36C7">
      <w:pPr>
        <w:pStyle w:val="3"/>
        <w:spacing w:line="360" w:lineRule="auto"/>
        <w:jc w:val="both"/>
        <w:rPr>
          <w:sz w:val="28"/>
          <w:szCs w:val="28"/>
        </w:rPr>
      </w:pPr>
      <w:r w:rsidRPr="00CA36C7">
        <w:rPr>
          <w:rStyle w:val="fadeinpfttw8"/>
          <w:sz w:val="28"/>
          <w:szCs w:val="28"/>
        </w:rPr>
        <w:lastRenderedPageBreak/>
        <w:t>1.6. Legal and Ethical Aspects of Nursing Education in Chronic Disease Management</w:t>
      </w:r>
    </w:p>
    <w:p w:rsidR="00CA36C7" w:rsidRPr="00CA36C7" w:rsidRDefault="00CA36C7" w:rsidP="00CA36C7">
      <w:pPr>
        <w:pStyle w:val="a4"/>
        <w:spacing w:line="360" w:lineRule="auto"/>
        <w:ind w:firstLine="708"/>
        <w:jc w:val="both"/>
        <w:rPr>
          <w:sz w:val="28"/>
          <w:szCs w:val="28"/>
        </w:rPr>
      </w:pPr>
      <w:r w:rsidRPr="00CA36C7">
        <w:rPr>
          <w:rStyle w:val="fadeinpfttw8"/>
          <w:sz w:val="28"/>
          <w:szCs w:val="28"/>
        </w:rPr>
        <w:t xml:space="preserve">The role of nurses in chronic disease management, particularly in patient education, is not only a clinical and communicative responsibility but also a </w:t>
      </w:r>
      <w:r w:rsidRPr="00CA36C7">
        <w:rPr>
          <w:rStyle w:val="fadeinpfttw8"/>
          <w:b/>
          <w:bCs/>
          <w:sz w:val="28"/>
          <w:szCs w:val="28"/>
        </w:rPr>
        <w:t>legal and ethical obligation</w:t>
      </w:r>
      <w:r w:rsidRPr="00CA36C7">
        <w:rPr>
          <w:rStyle w:val="fadeinpfttw8"/>
          <w:sz w:val="28"/>
          <w:szCs w:val="28"/>
        </w:rPr>
        <w:t>. In the context of inflammatory bowel diseases (IBD), where long-term engagement and adherence are critical, ethical nursing practice requires transparency, autonomy, and fidelity to evidence-based care. This section explores the legal frameworks, ethical principles, and professional standards that govern nursing education and delineate nurses’ responsibilities in promoting informed decision-making and patient empowerment.</w:t>
      </w:r>
    </w:p>
    <w:p w:rsidR="00CA36C7" w:rsidRPr="00CA36C7" w:rsidRDefault="00CA36C7" w:rsidP="00CA36C7">
      <w:pPr>
        <w:pStyle w:val="4"/>
        <w:spacing w:line="360" w:lineRule="auto"/>
        <w:jc w:val="both"/>
        <w:rPr>
          <w:sz w:val="28"/>
          <w:szCs w:val="28"/>
        </w:rPr>
      </w:pPr>
      <w:r w:rsidRPr="00CA36C7">
        <w:rPr>
          <w:rStyle w:val="fadeinpfttw8"/>
          <w:sz w:val="28"/>
          <w:szCs w:val="28"/>
        </w:rPr>
        <w:t>1. Legal Foundations of Nursing Education</w:t>
      </w:r>
    </w:p>
    <w:p w:rsidR="00CA36C7" w:rsidRPr="00CA36C7" w:rsidRDefault="00CA36C7" w:rsidP="00CA36C7">
      <w:pPr>
        <w:pStyle w:val="a4"/>
        <w:spacing w:line="360" w:lineRule="auto"/>
        <w:ind w:firstLine="708"/>
        <w:jc w:val="both"/>
        <w:rPr>
          <w:sz w:val="28"/>
          <w:szCs w:val="28"/>
        </w:rPr>
      </w:pPr>
      <w:r w:rsidRPr="00CA36C7">
        <w:rPr>
          <w:rStyle w:val="fadeinpfttw8"/>
          <w:sz w:val="28"/>
          <w:szCs w:val="28"/>
        </w:rPr>
        <w:t xml:space="preserve">In many healthcare systems, including the European Union, Canada, and Ukraine, the </w:t>
      </w:r>
      <w:r w:rsidRPr="00CA36C7">
        <w:rPr>
          <w:rStyle w:val="fadeinpfttw8"/>
          <w:b/>
          <w:bCs/>
          <w:sz w:val="28"/>
          <w:szCs w:val="28"/>
        </w:rPr>
        <w:t>legal right of patients to receive education about their condition and treatment options</w:t>
      </w:r>
      <w:r w:rsidRPr="00CA36C7">
        <w:rPr>
          <w:rStyle w:val="fadeinpfttw8"/>
          <w:sz w:val="28"/>
          <w:szCs w:val="28"/>
        </w:rPr>
        <w:t xml:space="preserve"> is enshrined in national health legislation. Patient education is considered part of informed consent, which is a legally protected process, not a one-time signature.</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According to </w:t>
      </w:r>
      <w:r w:rsidRPr="00CA36C7">
        <w:rPr>
          <w:rStyle w:val="fadeinpfttw8"/>
          <w:b/>
          <w:bCs/>
          <w:sz w:val="28"/>
          <w:szCs w:val="28"/>
        </w:rPr>
        <w:t>Article 6 of the Oviedo Convention</w:t>
      </w:r>
      <w:r w:rsidRPr="00CA36C7">
        <w:rPr>
          <w:rStyle w:val="fadeinpfttw8"/>
          <w:sz w:val="28"/>
          <w:szCs w:val="28"/>
        </w:rPr>
        <w:t xml:space="preserve"> (Council of Europe, 1997), healthcare interventions must be preceded by informed consent, which requires adequate, comprehensible information about:</w:t>
      </w:r>
    </w:p>
    <w:p w:rsidR="00CA36C7" w:rsidRPr="00CA36C7" w:rsidRDefault="00CA36C7" w:rsidP="0017650E">
      <w:pPr>
        <w:pStyle w:val="a4"/>
        <w:numPr>
          <w:ilvl w:val="0"/>
          <w:numId w:val="41"/>
        </w:numPr>
        <w:spacing w:line="360" w:lineRule="auto"/>
        <w:jc w:val="both"/>
        <w:rPr>
          <w:sz w:val="28"/>
          <w:szCs w:val="28"/>
        </w:rPr>
      </w:pPr>
      <w:r w:rsidRPr="00CA36C7">
        <w:rPr>
          <w:rStyle w:val="fadeinpfttw8"/>
          <w:sz w:val="28"/>
          <w:szCs w:val="28"/>
        </w:rPr>
        <w:t>The nature of the disease,</w:t>
      </w:r>
    </w:p>
    <w:p w:rsidR="00CA36C7" w:rsidRPr="00CA36C7" w:rsidRDefault="00CA36C7" w:rsidP="0017650E">
      <w:pPr>
        <w:pStyle w:val="a4"/>
        <w:numPr>
          <w:ilvl w:val="0"/>
          <w:numId w:val="41"/>
        </w:numPr>
        <w:spacing w:line="360" w:lineRule="auto"/>
        <w:jc w:val="both"/>
        <w:rPr>
          <w:sz w:val="28"/>
          <w:szCs w:val="28"/>
        </w:rPr>
      </w:pPr>
      <w:r w:rsidRPr="00CA36C7">
        <w:rPr>
          <w:rStyle w:val="fadeinpfttw8"/>
          <w:sz w:val="28"/>
          <w:szCs w:val="28"/>
        </w:rPr>
        <w:t>Purpose and risks of treatment,</w:t>
      </w:r>
    </w:p>
    <w:p w:rsidR="00CA36C7" w:rsidRPr="00CA36C7" w:rsidRDefault="00CA36C7" w:rsidP="0017650E">
      <w:pPr>
        <w:pStyle w:val="a4"/>
        <w:numPr>
          <w:ilvl w:val="0"/>
          <w:numId w:val="41"/>
        </w:numPr>
        <w:spacing w:line="360" w:lineRule="auto"/>
        <w:jc w:val="both"/>
        <w:rPr>
          <w:sz w:val="28"/>
          <w:szCs w:val="28"/>
        </w:rPr>
      </w:pPr>
      <w:r w:rsidRPr="00CA36C7">
        <w:rPr>
          <w:rStyle w:val="fadeinpfttw8"/>
          <w:sz w:val="28"/>
          <w:szCs w:val="28"/>
        </w:rPr>
        <w:t>Possible alternatives,</w:t>
      </w:r>
    </w:p>
    <w:p w:rsidR="00CA36C7" w:rsidRPr="00CA36C7" w:rsidRDefault="00CA36C7" w:rsidP="0017650E">
      <w:pPr>
        <w:pStyle w:val="a4"/>
        <w:numPr>
          <w:ilvl w:val="0"/>
          <w:numId w:val="41"/>
        </w:numPr>
        <w:spacing w:line="360" w:lineRule="auto"/>
        <w:jc w:val="both"/>
        <w:rPr>
          <w:sz w:val="28"/>
          <w:szCs w:val="28"/>
        </w:rPr>
      </w:pPr>
      <w:r w:rsidRPr="00CA36C7">
        <w:rPr>
          <w:rStyle w:val="fadeinpfttw8"/>
          <w:sz w:val="28"/>
          <w:szCs w:val="28"/>
        </w:rPr>
        <w:t>Likely outcomes with or without treatment.</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Nurses, particularly in chronic disease settings, are often the primary providers of this information. Failure to deliver accurate and understandable education may constitute </w:t>
      </w:r>
      <w:r w:rsidRPr="00CA36C7">
        <w:rPr>
          <w:rStyle w:val="fadeinpfttw8"/>
          <w:b/>
          <w:bCs/>
          <w:sz w:val="28"/>
          <w:szCs w:val="28"/>
        </w:rPr>
        <w:t>professional negligence</w:t>
      </w:r>
      <w:r w:rsidRPr="00CA36C7">
        <w:rPr>
          <w:rStyle w:val="fadeinpfttw8"/>
          <w:sz w:val="28"/>
          <w:szCs w:val="28"/>
        </w:rPr>
        <w:t>, particularly if patients are harmed due to misinformation or inadequate understanding.</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Additionally, in Ukraine and the EU, </w:t>
      </w:r>
      <w:r w:rsidRPr="00CA36C7">
        <w:rPr>
          <w:rStyle w:val="fadeinpfttw8"/>
          <w:b/>
          <w:bCs/>
          <w:sz w:val="28"/>
          <w:szCs w:val="28"/>
        </w:rPr>
        <w:t>standards of nursing practice</w:t>
      </w:r>
      <w:r w:rsidRPr="00CA36C7">
        <w:rPr>
          <w:rStyle w:val="fadeinpfttw8"/>
          <w:sz w:val="28"/>
          <w:szCs w:val="28"/>
        </w:rPr>
        <w:t xml:space="preserve"> (e.g., Стандарт професійної діяльності медичної сестри) define educational support as a core </w:t>
      </w:r>
      <w:r w:rsidRPr="00CA36C7">
        <w:rPr>
          <w:rStyle w:val="fadeinpfttw8"/>
          <w:sz w:val="28"/>
          <w:szCs w:val="28"/>
        </w:rPr>
        <w:lastRenderedPageBreak/>
        <w:t xml:space="preserve">competency of the profession. The </w:t>
      </w:r>
      <w:r w:rsidRPr="00CA36C7">
        <w:rPr>
          <w:rStyle w:val="fadeinpfttw8"/>
          <w:b/>
          <w:bCs/>
          <w:sz w:val="28"/>
          <w:szCs w:val="28"/>
        </w:rPr>
        <w:t>International Council of Nurses (ICN)</w:t>
      </w:r>
      <w:r w:rsidRPr="00CA36C7">
        <w:rPr>
          <w:rStyle w:val="fadeinpfttw8"/>
          <w:sz w:val="28"/>
          <w:szCs w:val="28"/>
        </w:rPr>
        <w:t xml:space="preserve"> also asserts that nurses must “ensure that the patient receives accurate, sufficient, and timely information to make decisions.”</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Thus, patient education is not optional—it is a </w:t>
      </w:r>
      <w:r w:rsidRPr="00CA36C7">
        <w:rPr>
          <w:rStyle w:val="fadeinpfttw8"/>
          <w:b/>
          <w:bCs/>
          <w:sz w:val="28"/>
          <w:szCs w:val="28"/>
        </w:rPr>
        <w:t>legal mandate</w:t>
      </w:r>
      <w:r w:rsidRPr="00CA36C7">
        <w:rPr>
          <w:rStyle w:val="fadeinpfttw8"/>
          <w:sz w:val="28"/>
          <w:szCs w:val="28"/>
        </w:rPr>
        <w:t xml:space="preserve"> grounded in the principles of bodily autonomy and the right to health.</w:t>
      </w:r>
    </w:p>
    <w:p w:rsidR="00CA36C7" w:rsidRPr="00CA36C7" w:rsidRDefault="00CA36C7" w:rsidP="00CA36C7">
      <w:pPr>
        <w:pStyle w:val="4"/>
        <w:spacing w:line="360" w:lineRule="auto"/>
        <w:jc w:val="both"/>
        <w:rPr>
          <w:sz w:val="28"/>
          <w:szCs w:val="28"/>
        </w:rPr>
      </w:pPr>
      <w:r w:rsidRPr="00CA36C7">
        <w:rPr>
          <w:rStyle w:val="fadeinpfttw8"/>
          <w:sz w:val="28"/>
          <w:szCs w:val="28"/>
        </w:rPr>
        <w:t>2. Ethical Principles in Nursing Education</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Educational activity in nursing is guided by the </w:t>
      </w:r>
      <w:r w:rsidRPr="00CA36C7">
        <w:rPr>
          <w:rStyle w:val="fadeinpfttw8"/>
          <w:b/>
          <w:bCs/>
          <w:sz w:val="28"/>
          <w:szCs w:val="28"/>
        </w:rPr>
        <w:t>four core principles of biomedical ethics</w:t>
      </w:r>
      <w:r w:rsidRPr="00CA36C7">
        <w:rPr>
          <w:rStyle w:val="fadeinpfttw8"/>
          <w:sz w:val="28"/>
          <w:szCs w:val="28"/>
        </w:rPr>
        <w:t>:</w:t>
      </w:r>
    </w:p>
    <w:p w:rsidR="00CA36C7" w:rsidRPr="00CA36C7" w:rsidRDefault="00CA36C7" w:rsidP="0017650E">
      <w:pPr>
        <w:pStyle w:val="a4"/>
        <w:numPr>
          <w:ilvl w:val="0"/>
          <w:numId w:val="42"/>
        </w:numPr>
        <w:spacing w:line="360" w:lineRule="auto"/>
        <w:jc w:val="both"/>
        <w:rPr>
          <w:sz w:val="28"/>
          <w:szCs w:val="28"/>
        </w:rPr>
      </w:pPr>
      <w:r w:rsidRPr="00CA36C7">
        <w:rPr>
          <w:rStyle w:val="fadeinpfttw8"/>
          <w:b/>
          <w:bCs/>
          <w:sz w:val="28"/>
          <w:szCs w:val="28"/>
        </w:rPr>
        <w:t>Autonomy</w:t>
      </w:r>
      <w:r w:rsidRPr="00CA36C7">
        <w:rPr>
          <w:rStyle w:val="fadeinpfttw8"/>
          <w:sz w:val="28"/>
          <w:szCs w:val="28"/>
        </w:rPr>
        <w:t xml:space="preserve"> — Respecting the patient’s right to make informed decisions about their care.</w:t>
      </w:r>
    </w:p>
    <w:p w:rsidR="00CA36C7" w:rsidRPr="00CA36C7" w:rsidRDefault="00CA36C7" w:rsidP="0017650E">
      <w:pPr>
        <w:pStyle w:val="a4"/>
        <w:numPr>
          <w:ilvl w:val="0"/>
          <w:numId w:val="42"/>
        </w:numPr>
        <w:spacing w:line="360" w:lineRule="auto"/>
        <w:jc w:val="both"/>
        <w:rPr>
          <w:sz w:val="28"/>
          <w:szCs w:val="28"/>
        </w:rPr>
      </w:pPr>
      <w:r w:rsidRPr="00CA36C7">
        <w:rPr>
          <w:rStyle w:val="fadeinpfttw8"/>
          <w:b/>
          <w:bCs/>
          <w:sz w:val="28"/>
          <w:szCs w:val="28"/>
        </w:rPr>
        <w:t>Beneficence</w:t>
      </w:r>
      <w:r w:rsidRPr="00CA36C7">
        <w:rPr>
          <w:rStyle w:val="fadeinpfttw8"/>
          <w:sz w:val="28"/>
          <w:szCs w:val="28"/>
        </w:rPr>
        <w:t xml:space="preserve"> — Acting in the patient’s best interest through clear, honest communication.</w:t>
      </w:r>
    </w:p>
    <w:p w:rsidR="00CA36C7" w:rsidRPr="00CA36C7" w:rsidRDefault="00CA36C7" w:rsidP="0017650E">
      <w:pPr>
        <w:pStyle w:val="a4"/>
        <w:numPr>
          <w:ilvl w:val="0"/>
          <w:numId w:val="42"/>
        </w:numPr>
        <w:spacing w:line="360" w:lineRule="auto"/>
        <w:jc w:val="both"/>
        <w:rPr>
          <w:sz w:val="28"/>
          <w:szCs w:val="28"/>
        </w:rPr>
      </w:pPr>
      <w:r w:rsidRPr="00CA36C7">
        <w:rPr>
          <w:rStyle w:val="fadeinpfttw8"/>
          <w:b/>
          <w:bCs/>
          <w:sz w:val="28"/>
          <w:szCs w:val="28"/>
        </w:rPr>
        <w:t>Non-maleficence</w:t>
      </w:r>
      <w:r w:rsidRPr="00CA36C7">
        <w:rPr>
          <w:rStyle w:val="fadeinpfttw8"/>
          <w:sz w:val="28"/>
          <w:szCs w:val="28"/>
        </w:rPr>
        <w:t xml:space="preserve"> — Avoiding harm by preventing misunderstandings and misinformation.</w:t>
      </w:r>
    </w:p>
    <w:p w:rsidR="00CA36C7" w:rsidRPr="00CA36C7" w:rsidRDefault="00CA36C7" w:rsidP="0017650E">
      <w:pPr>
        <w:pStyle w:val="a4"/>
        <w:numPr>
          <w:ilvl w:val="0"/>
          <w:numId w:val="42"/>
        </w:numPr>
        <w:spacing w:line="360" w:lineRule="auto"/>
        <w:jc w:val="both"/>
        <w:rPr>
          <w:sz w:val="28"/>
          <w:szCs w:val="28"/>
        </w:rPr>
      </w:pPr>
      <w:r w:rsidRPr="00CA36C7">
        <w:rPr>
          <w:rStyle w:val="fadeinpfttw8"/>
          <w:b/>
          <w:bCs/>
          <w:sz w:val="28"/>
          <w:szCs w:val="28"/>
        </w:rPr>
        <w:t>Justice</w:t>
      </w:r>
      <w:r w:rsidRPr="00CA36C7">
        <w:rPr>
          <w:rStyle w:val="fadeinpfttw8"/>
          <w:sz w:val="28"/>
          <w:szCs w:val="28"/>
        </w:rPr>
        <w:t xml:space="preserve"> — Ensuring that all patients, regardless of background, receive equal access to information and support.</w:t>
      </w:r>
    </w:p>
    <w:p w:rsidR="00CA36C7" w:rsidRPr="00CA36C7" w:rsidRDefault="00CA36C7" w:rsidP="00CA36C7">
      <w:pPr>
        <w:pStyle w:val="a4"/>
        <w:spacing w:line="360" w:lineRule="auto"/>
        <w:jc w:val="both"/>
        <w:rPr>
          <w:sz w:val="28"/>
          <w:szCs w:val="28"/>
        </w:rPr>
      </w:pPr>
      <w:r w:rsidRPr="00CA36C7">
        <w:rPr>
          <w:rStyle w:val="fadeinpfttw8"/>
          <w:sz w:val="28"/>
          <w:szCs w:val="28"/>
        </w:rPr>
        <w:t>These principles manifest in educational practice as follows:</w:t>
      </w:r>
    </w:p>
    <w:p w:rsidR="00CA36C7" w:rsidRPr="00CA36C7" w:rsidRDefault="00CA36C7" w:rsidP="0017650E">
      <w:pPr>
        <w:pStyle w:val="a4"/>
        <w:numPr>
          <w:ilvl w:val="0"/>
          <w:numId w:val="43"/>
        </w:numPr>
        <w:spacing w:line="360" w:lineRule="auto"/>
        <w:jc w:val="both"/>
        <w:rPr>
          <w:sz w:val="28"/>
          <w:szCs w:val="28"/>
        </w:rPr>
      </w:pPr>
      <w:r w:rsidRPr="00CA36C7">
        <w:rPr>
          <w:rStyle w:val="fadeinpfttw8"/>
          <w:sz w:val="28"/>
          <w:szCs w:val="28"/>
        </w:rPr>
        <w:t>Providing truthful, evidence-based content.</w:t>
      </w:r>
    </w:p>
    <w:p w:rsidR="00CA36C7" w:rsidRPr="00CA36C7" w:rsidRDefault="00CA36C7" w:rsidP="0017650E">
      <w:pPr>
        <w:pStyle w:val="a4"/>
        <w:numPr>
          <w:ilvl w:val="0"/>
          <w:numId w:val="43"/>
        </w:numPr>
        <w:spacing w:line="360" w:lineRule="auto"/>
        <w:jc w:val="both"/>
        <w:rPr>
          <w:sz w:val="28"/>
          <w:szCs w:val="28"/>
        </w:rPr>
      </w:pPr>
      <w:r w:rsidRPr="00CA36C7">
        <w:rPr>
          <w:rStyle w:val="fadeinpfttw8"/>
          <w:sz w:val="28"/>
          <w:szCs w:val="28"/>
        </w:rPr>
        <w:t>Tailoring information to the patient’s cognitive and emotional level.</w:t>
      </w:r>
    </w:p>
    <w:p w:rsidR="00CA36C7" w:rsidRPr="00CA36C7" w:rsidRDefault="00CA36C7" w:rsidP="0017650E">
      <w:pPr>
        <w:pStyle w:val="a4"/>
        <w:numPr>
          <w:ilvl w:val="0"/>
          <w:numId w:val="43"/>
        </w:numPr>
        <w:spacing w:line="360" w:lineRule="auto"/>
        <w:jc w:val="both"/>
        <w:rPr>
          <w:sz w:val="28"/>
          <w:szCs w:val="28"/>
        </w:rPr>
      </w:pPr>
      <w:r w:rsidRPr="00CA36C7">
        <w:rPr>
          <w:rStyle w:val="fadeinpfttw8"/>
          <w:sz w:val="28"/>
          <w:szCs w:val="28"/>
        </w:rPr>
        <w:t>Respecting refusal or hesitation without coercion.</w:t>
      </w:r>
    </w:p>
    <w:p w:rsidR="00CA36C7" w:rsidRPr="00CA36C7" w:rsidRDefault="00CA36C7" w:rsidP="0017650E">
      <w:pPr>
        <w:pStyle w:val="a4"/>
        <w:numPr>
          <w:ilvl w:val="0"/>
          <w:numId w:val="43"/>
        </w:numPr>
        <w:spacing w:line="360" w:lineRule="auto"/>
        <w:jc w:val="both"/>
        <w:rPr>
          <w:sz w:val="28"/>
          <w:szCs w:val="28"/>
        </w:rPr>
      </w:pPr>
      <w:r w:rsidRPr="00CA36C7">
        <w:rPr>
          <w:rStyle w:val="fadeinpfttw8"/>
          <w:sz w:val="28"/>
          <w:szCs w:val="28"/>
        </w:rPr>
        <w:t>Protecting confidentiality and personal data during educational sessions.</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In IBD care, where treatments carry significant risks (e.g., immunosuppression, surgical complications), </w:t>
      </w:r>
      <w:r w:rsidRPr="00CA36C7">
        <w:rPr>
          <w:rStyle w:val="fadeinpfttw8"/>
          <w:b/>
          <w:bCs/>
          <w:sz w:val="28"/>
          <w:szCs w:val="28"/>
        </w:rPr>
        <w:t>ethical nursing education is essential</w:t>
      </w:r>
      <w:r w:rsidRPr="00CA36C7">
        <w:rPr>
          <w:rStyle w:val="fadeinpfttw8"/>
          <w:sz w:val="28"/>
          <w:szCs w:val="28"/>
        </w:rPr>
        <w:t xml:space="preserve"> for risk communication and shared decision-making.</w:t>
      </w:r>
    </w:p>
    <w:p w:rsidR="00CA36C7" w:rsidRPr="00CA36C7" w:rsidRDefault="00CA36C7" w:rsidP="00CA36C7">
      <w:pPr>
        <w:pStyle w:val="4"/>
        <w:spacing w:line="360" w:lineRule="auto"/>
        <w:jc w:val="both"/>
        <w:rPr>
          <w:sz w:val="28"/>
          <w:szCs w:val="28"/>
        </w:rPr>
      </w:pPr>
      <w:r w:rsidRPr="00CA36C7">
        <w:rPr>
          <w:rStyle w:val="fadeinpfttw8"/>
          <w:sz w:val="28"/>
          <w:szCs w:val="28"/>
        </w:rPr>
        <w:lastRenderedPageBreak/>
        <w:t>3. Professional Responsibility and Accountability</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Nurses are held to a </w:t>
      </w:r>
      <w:r w:rsidRPr="00CA36C7">
        <w:rPr>
          <w:rStyle w:val="fadeinpfttw8"/>
          <w:b/>
          <w:bCs/>
          <w:sz w:val="28"/>
          <w:szCs w:val="28"/>
        </w:rPr>
        <w:t>standard of care</w:t>
      </w:r>
      <w:r w:rsidRPr="00CA36C7">
        <w:rPr>
          <w:rStyle w:val="fadeinpfttw8"/>
          <w:sz w:val="28"/>
          <w:szCs w:val="28"/>
        </w:rPr>
        <w:t xml:space="preserve"> that includes their role as educators. Professional codes of conduct—such as those of the ICN, ECCO, and national nursing associations—emphasize:</w:t>
      </w:r>
    </w:p>
    <w:p w:rsidR="00CA36C7" w:rsidRPr="00CA36C7" w:rsidRDefault="00CA36C7" w:rsidP="0017650E">
      <w:pPr>
        <w:pStyle w:val="a4"/>
        <w:numPr>
          <w:ilvl w:val="0"/>
          <w:numId w:val="44"/>
        </w:numPr>
        <w:spacing w:line="360" w:lineRule="auto"/>
        <w:jc w:val="both"/>
        <w:rPr>
          <w:sz w:val="28"/>
          <w:szCs w:val="28"/>
        </w:rPr>
      </w:pPr>
      <w:r w:rsidRPr="00CA36C7">
        <w:rPr>
          <w:rStyle w:val="fadeinpfttw8"/>
          <w:b/>
          <w:bCs/>
          <w:sz w:val="28"/>
          <w:szCs w:val="28"/>
        </w:rPr>
        <w:t>Responsibility</w:t>
      </w:r>
      <w:r w:rsidRPr="00CA36C7">
        <w:rPr>
          <w:rStyle w:val="fadeinpfttw8"/>
          <w:sz w:val="28"/>
          <w:szCs w:val="28"/>
        </w:rPr>
        <w:t>: Nurses are responsible for the accuracy and completeness of the information they provide.</w:t>
      </w:r>
    </w:p>
    <w:p w:rsidR="00CA36C7" w:rsidRPr="00CA36C7" w:rsidRDefault="00CA36C7" w:rsidP="0017650E">
      <w:pPr>
        <w:pStyle w:val="a4"/>
        <w:numPr>
          <w:ilvl w:val="0"/>
          <w:numId w:val="44"/>
        </w:numPr>
        <w:spacing w:line="360" w:lineRule="auto"/>
        <w:jc w:val="both"/>
        <w:rPr>
          <w:sz w:val="28"/>
          <w:szCs w:val="28"/>
        </w:rPr>
      </w:pPr>
      <w:r w:rsidRPr="00CA36C7">
        <w:rPr>
          <w:rStyle w:val="fadeinpfttw8"/>
          <w:b/>
          <w:bCs/>
          <w:sz w:val="28"/>
          <w:szCs w:val="28"/>
        </w:rPr>
        <w:t>Accountability</w:t>
      </w:r>
      <w:r w:rsidRPr="00CA36C7">
        <w:rPr>
          <w:rStyle w:val="fadeinpfttw8"/>
          <w:sz w:val="28"/>
          <w:szCs w:val="28"/>
        </w:rPr>
        <w:t>: They must be able to justify the content and method of their teaching in case of dispute or error.</w:t>
      </w:r>
    </w:p>
    <w:p w:rsidR="00CA36C7" w:rsidRPr="00CA36C7" w:rsidRDefault="00CA36C7" w:rsidP="0017650E">
      <w:pPr>
        <w:pStyle w:val="a4"/>
        <w:numPr>
          <w:ilvl w:val="0"/>
          <w:numId w:val="44"/>
        </w:numPr>
        <w:spacing w:line="360" w:lineRule="auto"/>
        <w:jc w:val="both"/>
        <w:rPr>
          <w:sz w:val="28"/>
          <w:szCs w:val="28"/>
        </w:rPr>
      </w:pPr>
      <w:r w:rsidRPr="00CA36C7">
        <w:rPr>
          <w:rStyle w:val="fadeinpfttw8"/>
          <w:b/>
          <w:bCs/>
          <w:sz w:val="28"/>
          <w:szCs w:val="28"/>
        </w:rPr>
        <w:t>Documentation</w:t>
      </w:r>
      <w:r w:rsidRPr="00CA36C7">
        <w:rPr>
          <w:rStyle w:val="fadeinpfttw8"/>
          <w:sz w:val="28"/>
          <w:szCs w:val="28"/>
        </w:rPr>
        <w:t>: Proper records of education sessions, materials used, and patient understanding must be maintained.</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Neglecting these duties may lead to </w:t>
      </w:r>
      <w:r w:rsidRPr="00CA36C7">
        <w:rPr>
          <w:rStyle w:val="fadeinpfttw8"/>
          <w:b/>
          <w:bCs/>
          <w:sz w:val="28"/>
          <w:szCs w:val="28"/>
        </w:rPr>
        <w:t>legal liability</w:t>
      </w:r>
      <w:r w:rsidRPr="00CA36C7">
        <w:rPr>
          <w:rStyle w:val="fadeinpfttw8"/>
          <w:sz w:val="28"/>
          <w:szCs w:val="28"/>
        </w:rPr>
        <w:t>, ethical inquiry, or disciplinary action, especially if misinformation results in treatment refusal, deterioration, or litigation.</w:t>
      </w:r>
    </w:p>
    <w:p w:rsidR="00CA36C7" w:rsidRPr="00CA36C7" w:rsidRDefault="00CA36C7" w:rsidP="00CA36C7">
      <w:pPr>
        <w:pStyle w:val="4"/>
        <w:spacing w:line="360" w:lineRule="auto"/>
        <w:jc w:val="both"/>
        <w:rPr>
          <w:sz w:val="28"/>
          <w:szCs w:val="28"/>
        </w:rPr>
      </w:pPr>
      <w:r w:rsidRPr="00CA36C7">
        <w:rPr>
          <w:rStyle w:val="fadeinpfttw8"/>
          <w:sz w:val="28"/>
          <w:szCs w:val="28"/>
        </w:rPr>
        <w:t>4. Specific Legal Challenges in IBD Nursing Education</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Educating patients with IBD involves several </w:t>
      </w:r>
      <w:r w:rsidRPr="00CA36C7">
        <w:rPr>
          <w:rStyle w:val="fadeinpfttw8"/>
          <w:b/>
          <w:bCs/>
          <w:sz w:val="28"/>
          <w:szCs w:val="28"/>
        </w:rPr>
        <w:t>legal and ethical dilemmas</w:t>
      </w:r>
      <w:r w:rsidRPr="00CA36C7">
        <w:rPr>
          <w:rStyle w:val="fadeinpfttw8"/>
          <w:sz w:val="28"/>
          <w:szCs w:val="28"/>
        </w:rPr>
        <w:t>, such as:</w:t>
      </w:r>
    </w:p>
    <w:p w:rsidR="00CA36C7" w:rsidRPr="00CA36C7" w:rsidRDefault="00CA36C7" w:rsidP="0017650E">
      <w:pPr>
        <w:pStyle w:val="a4"/>
        <w:numPr>
          <w:ilvl w:val="0"/>
          <w:numId w:val="45"/>
        </w:numPr>
        <w:spacing w:line="360" w:lineRule="auto"/>
        <w:jc w:val="both"/>
        <w:rPr>
          <w:sz w:val="28"/>
          <w:szCs w:val="28"/>
        </w:rPr>
      </w:pPr>
      <w:r w:rsidRPr="00CA36C7">
        <w:rPr>
          <w:rStyle w:val="fadeinpfttw8"/>
          <w:sz w:val="28"/>
          <w:szCs w:val="28"/>
        </w:rPr>
        <w:t>Explaining off-label medication use or new treatments not fully approved in all countries.</w:t>
      </w:r>
    </w:p>
    <w:p w:rsidR="00CA36C7" w:rsidRPr="00CA36C7" w:rsidRDefault="00CA36C7" w:rsidP="0017650E">
      <w:pPr>
        <w:pStyle w:val="a4"/>
        <w:numPr>
          <w:ilvl w:val="0"/>
          <w:numId w:val="45"/>
        </w:numPr>
        <w:spacing w:line="360" w:lineRule="auto"/>
        <w:jc w:val="both"/>
        <w:rPr>
          <w:sz w:val="28"/>
          <w:szCs w:val="28"/>
        </w:rPr>
      </w:pPr>
      <w:r w:rsidRPr="00CA36C7">
        <w:rPr>
          <w:rStyle w:val="fadeinpfttw8"/>
          <w:sz w:val="28"/>
          <w:szCs w:val="28"/>
        </w:rPr>
        <w:t>Discussing the risks of non-adherence (e.g., cancer risk in ulcerative colitis) without inducing fear.</w:t>
      </w:r>
    </w:p>
    <w:p w:rsidR="00CA36C7" w:rsidRPr="00CA36C7" w:rsidRDefault="00CA36C7" w:rsidP="0017650E">
      <w:pPr>
        <w:pStyle w:val="a4"/>
        <w:numPr>
          <w:ilvl w:val="0"/>
          <w:numId w:val="45"/>
        </w:numPr>
        <w:spacing w:line="360" w:lineRule="auto"/>
        <w:jc w:val="both"/>
        <w:rPr>
          <w:sz w:val="28"/>
          <w:szCs w:val="28"/>
        </w:rPr>
      </w:pPr>
      <w:r w:rsidRPr="00CA36C7">
        <w:rPr>
          <w:rStyle w:val="fadeinpfttw8"/>
          <w:sz w:val="28"/>
          <w:szCs w:val="28"/>
        </w:rPr>
        <w:t>Balancing honesty about side effects with hope and motivation.</w:t>
      </w:r>
    </w:p>
    <w:p w:rsidR="00CA36C7" w:rsidRPr="00CA36C7" w:rsidRDefault="00CA36C7" w:rsidP="0017650E">
      <w:pPr>
        <w:pStyle w:val="a4"/>
        <w:numPr>
          <w:ilvl w:val="0"/>
          <w:numId w:val="45"/>
        </w:numPr>
        <w:spacing w:line="360" w:lineRule="auto"/>
        <w:jc w:val="both"/>
        <w:rPr>
          <w:sz w:val="28"/>
          <w:szCs w:val="28"/>
        </w:rPr>
      </w:pPr>
      <w:r w:rsidRPr="00CA36C7">
        <w:rPr>
          <w:rStyle w:val="fadeinpfttw8"/>
          <w:sz w:val="28"/>
          <w:szCs w:val="28"/>
        </w:rPr>
        <w:t>Managing consent for educational involvement of minors or cognitively impaired adults.</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Nurses must navigate these challenges with </w:t>
      </w:r>
      <w:r w:rsidRPr="00CA36C7">
        <w:rPr>
          <w:rStyle w:val="fadeinpfttw8"/>
          <w:b/>
          <w:bCs/>
          <w:sz w:val="28"/>
          <w:szCs w:val="28"/>
        </w:rPr>
        <w:t>clinical accuracy, empathy, and cultural competence</w:t>
      </w:r>
      <w:r w:rsidRPr="00CA36C7">
        <w:rPr>
          <w:rStyle w:val="fadeinpfttw8"/>
          <w:sz w:val="28"/>
          <w:szCs w:val="28"/>
        </w:rPr>
        <w:t>. They must also collaborate with physicians to ensure consistency of information, especially in complex cases requiring multiple therapeutic options.</w:t>
      </w:r>
    </w:p>
    <w:p w:rsidR="00CA36C7" w:rsidRPr="00CA36C7" w:rsidRDefault="00CA36C7" w:rsidP="00CA36C7">
      <w:pPr>
        <w:pStyle w:val="4"/>
        <w:spacing w:line="360" w:lineRule="auto"/>
        <w:jc w:val="both"/>
        <w:rPr>
          <w:sz w:val="28"/>
          <w:szCs w:val="28"/>
        </w:rPr>
      </w:pPr>
      <w:r w:rsidRPr="00CA36C7">
        <w:rPr>
          <w:rStyle w:val="fadeinpfttw8"/>
          <w:sz w:val="28"/>
          <w:szCs w:val="28"/>
        </w:rPr>
        <w:lastRenderedPageBreak/>
        <w:t>5. Global Standards and the Nurse’s Role as Advocate</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The </w:t>
      </w:r>
      <w:r w:rsidRPr="00CA36C7">
        <w:rPr>
          <w:rStyle w:val="fadeinpfttw8"/>
          <w:b/>
          <w:bCs/>
          <w:sz w:val="28"/>
          <w:szCs w:val="28"/>
        </w:rPr>
        <w:t>World Health Organization (WHO)</w:t>
      </w:r>
      <w:r w:rsidRPr="00CA36C7">
        <w:rPr>
          <w:rStyle w:val="fadeinpfttw8"/>
          <w:sz w:val="28"/>
          <w:szCs w:val="28"/>
        </w:rPr>
        <w:t xml:space="preserve"> and </w:t>
      </w:r>
      <w:r w:rsidRPr="00CA36C7">
        <w:rPr>
          <w:rStyle w:val="fadeinpfttw8"/>
          <w:b/>
          <w:bCs/>
          <w:sz w:val="28"/>
          <w:szCs w:val="28"/>
        </w:rPr>
        <w:t>International Council of Nurses (ICN)</w:t>
      </w:r>
      <w:r w:rsidRPr="00CA36C7">
        <w:rPr>
          <w:rStyle w:val="fadeinpfttw8"/>
          <w:sz w:val="28"/>
          <w:szCs w:val="28"/>
        </w:rPr>
        <w:t xml:space="preserve"> advocate for expanding the nurse’s role in education, particularly in chronic disease care. They view nurses as:</w:t>
      </w:r>
    </w:p>
    <w:p w:rsidR="00CA36C7" w:rsidRPr="00CA36C7" w:rsidRDefault="00CA36C7" w:rsidP="0017650E">
      <w:pPr>
        <w:pStyle w:val="a4"/>
        <w:numPr>
          <w:ilvl w:val="0"/>
          <w:numId w:val="46"/>
        </w:numPr>
        <w:spacing w:line="360" w:lineRule="auto"/>
        <w:jc w:val="both"/>
        <w:rPr>
          <w:sz w:val="28"/>
          <w:szCs w:val="28"/>
        </w:rPr>
      </w:pPr>
      <w:r w:rsidRPr="00CA36C7">
        <w:rPr>
          <w:rStyle w:val="fadeinpfttw8"/>
          <w:b/>
          <w:bCs/>
          <w:sz w:val="28"/>
          <w:szCs w:val="28"/>
        </w:rPr>
        <w:t>Patient advocates</w:t>
      </w:r>
      <w:r w:rsidRPr="00CA36C7">
        <w:rPr>
          <w:rStyle w:val="fadeinpfttw8"/>
          <w:sz w:val="28"/>
          <w:szCs w:val="28"/>
        </w:rPr>
        <w:t xml:space="preserve"> who ensure that vulnerable individuals understand their options,</w:t>
      </w:r>
    </w:p>
    <w:p w:rsidR="00CA36C7" w:rsidRPr="00CA36C7" w:rsidRDefault="00CA36C7" w:rsidP="0017650E">
      <w:pPr>
        <w:pStyle w:val="a4"/>
        <w:numPr>
          <w:ilvl w:val="0"/>
          <w:numId w:val="46"/>
        </w:numPr>
        <w:spacing w:line="360" w:lineRule="auto"/>
        <w:jc w:val="both"/>
        <w:rPr>
          <w:sz w:val="28"/>
          <w:szCs w:val="28"/>
        </w:rPr>
      </w:pPr>
      <w:r w:rsidRPr="00CA36C7">
        <w:rPr>
          <w:rStyle w:val="fadeinpfttw8"/>
          <w:b/>
          <w:bCs/>
          <w:sz w:val="28"/>
          <w:szCs w:val="28"/>
        </w:rPr>
        <w:t>Health literacy agents</w:t>
      </w:r>
      <w:r w:rsidRPr="00CA36C7">
        <w:rPr>
          <w:rStyle w:val="fadeinpfttw8"/>
          <w:sz w:val="28"/>
          <w:szCs w:val="28"/>
        </w:rPr>
        <w:t xml:space="preserve"> who reduce disparities in knowledge and care,</w:t>
      </w:r>
    </w:p>
    <w:p w:rsidR="00CA36C7" w:rsidRPr="00CA36C7" w:rsidRDefault="00CA36C7" w:rsidP="0017650E">
      <w:pPr>
        <w:pStyle w:val="a4"/>
        <w:numPr>
          <w:ilvl w:val="0"/>
          <w:numId w:val="46"/>
        </w:numPr>
        <w:spacing w:line="360" w:lineRule="auto"/>
        <w:jc w:val="both"/>
        <w:rPr>
          <w:sz w:val="28"/>
          <w:szCs w:val="28"/>
        </w:rPr>
      </w:pPr>
      <w:r w:rsidRPr="00CA36C7">
        <w:rPr>
          <w:rStyle w:val="fadeinpfttw8"/>
          <w:b/>
          <w:bCs/>
          <w:sz w:val="28"/>
          <w:szCs w:val="28"/>
        </w:rPr>
        <w:t>Ethical communicators</w:t>
      </w:r>
      <w:r w:rsidRPr="00CA36C7">
        <w:rPr>
          <w:rStyle w:val="fadeinpfttw8"/>
          <w:sz w:val="28"/>
          <w:szCs w:val="28"/>
        </w:rPr>
        <w:t xml:space="preserve"> who balance clinical facts with emotional support.</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For example, the </w:t>
      </w:r>
      <w:r w:rsidRPr="00CA36C7">
        <w:rPr>
          <w:rStyle w:val="fadeinpfttw8"/>
          <w:b/>
          <w:bCs/>
          <w:sz w:val="28"/>
          <w:szCs w:val="28"/>
        </w:rPr>
        <w:t>ECCO Nurse Education Curriculum (2021)</w:t>
      </w:r>
      <w:r w:rsidRPr="00CA36C7">
        <w:rPr>
          <w:rStyle w:val="fadeinpfttw8"/>
          <w:sz w:val="28"/>
          <w:szCs w:val="28"/>
        </w:rPr>
        <w:t xml:space="preserve"> states that “nurses have a duty to provide independent, comprehensive education to IBD patients at all stages of disease.”</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 xml:space="preserve">Furthermore, under the </w:t>
      </w:r>
      <w:r w:rsidRPr="00CA36C7">
        <w:rPr>
          <w:rStyle w:val="fadeinpfttw8"/>
          <w:b/>
          <w:bCs/>
          <w:sz w:val="28"/>
          <w:szCs w:val="28"/>
        </w:rPr>
        <w:t>United Nations Convention on the Rights of Persons with Disabilities</w:t>
      </w:r>
      <w:r w:rsidRPr="00CA36C7">
        <w:rPr>
          <w:rStyle w:val="fadeinpfttw8"/>
          <w:sz w:val="28"/>
          <w:szCs w:val="28"/>
        </w:rPr>
        <w:t>, all patients with chronic illnesses have the right to accessible, understandable information to participate in decisions about their care—placing additional educational responsibility on nursing staff.</w:t>
      </w:r>
    </w:p>
    <w:p w:rsidR="00CA36C7" w:rsidRPr="00CA36C7" w:rsidRDefault="00CA36C7" w:rsidP="00CA36C7">
      <w:pPr>
        <w:pStyle w:val="3"/>
        <w:spacing w:line="360" w:lineRule="auto"/>
        <w:jc w:val="both"/>
        <w:rPr>
          <w:sz w:val="28"/>
          <w:szCs w:val="28"/>
        </w:rPr>
      </w:pPr>
      <w:r w:rsidRPr="00CA36C7">
        <w:rPr>
          <w:rStyle w:val="fadeinpfttw8"/>
          <w:sz w:val="28"/>
          <w:szCs w:val="28"/>
        </w:rPr>
        <w:t>Conclusion: Ethics as the Foundation of Educational Nursing Practice</w:t>
      </w:r>
    </w:p>
    <w:p w:rsidR="00CA36C7" w:rsidRPr="00CA36C7" w:rsidRDefault="00CA36C7" w:rsidP="00CA36C7">
      <w:pPr>
        <w:pStyle w:val="a4"/>
        <w:spacing w:line="360" w:lineRule="auto"/>
        <w:ind w:firstLine="708"/>
        <w:jc w:val="both"/>
        <w:rPr>
          <w:sz w:val="28"/>
          <w:szCs w:val="28"/>
        </w:rPr>
      </w:pPr>
      <w:r w:rsidRPr="00CA36C7">
        <w:rPr>
          <w:rStyle w:val="fadeinpfttw8"/>
          <w:sz w:val="28"/>
          <w:szCs w:val="28"/>
        </w:rPr>
        <w:t xml:space="preserve">Nursing education is not just a skill; it is a moral and legal duty. In IBD care, where decisions are often high-stakes, time-sensitive, and emotionally charged, </w:t>
      </w:r>
      <w:r w:rsidRPr="00CA36C7">
        <w:rPr>
          <w:rStyle w:val="fadeinpfttw8"/>
          <w:b/>
          <w:bCs/>
          <w:sz w:val="28"/>
          <w:szCs w:val="28"/>
        </w:rPr>
        <w:t>ethical, accurate, and patient-centered education becomes a lifeline</w:t>
      </w:r>
      <w:r w:rsidRPr="00CA36C7">
        <w:rPr>
          <w:rStyle w:val="fadeinpfttw8"/>
          <w:sz w:val="28"/>
          <w:szCs w:val="28"/>
        </w:rPr>
        <w:t>. Nurses must balance scientific rigor with compassionate communication, and respect with responsibility.</w:t>
      </w:r>
    </w:p>
    <w:p w:rsidR="00CA36C7" w:rsidRPr="00CA36C7" w:rsidRDefault="00CA36C7" w:rsidP="00CA36C7">
      <w:pPr>
        <w:pStyle w:val="a4"/>
        <w:spacing w:line="360" w:lineRule="auto"/>
        <w:ind w:firstLine="360"/>
        <w:jc w:val="both"/>
        <w:rPr>
          <w:sz w:val="28"/>
          <w:szCs w:val="28"/>
        </w:rPr>
      </w:pPr>
      <w:r w:rsidRPr="00CA36C7">
        <w:rPr>
          <w:rStyle w:val="fadeinpfttw8"/>
          <w:sz w:val="28"/>
          <w:szCs w:val="28"/>
        </w:rPr>
        <w:t>As such, nurse educators must be:</w:t>
      </w:r>
    </w:p>
    <w:p w:rsidR="00CA36C7" w:rsidRPr="00CA36C7" w:rsidRDefault="00CA36C7" w:rsidP="0017650E">
      <w:pPr>
        <w:pStyle w:val="a4"/>
        <w:numPr>
          <w:ilvl w:val="0"/>
          <w:numId w:val="47"/>
        </w:numPr>
        <w:spacing w:line="360" w:lineRule="auto"/>
        <w:jc w:val="both"/>
        <w:rPr>
          <w:sz w:val="28"/>
          <w:szCs w:val="28"/>
        </w:rPr>
      </w:pPr>
      <w:r w:rsidRPr="00CA36C7">
        <w:rPr>
          <w:rStyle w:val="fadeinpfttw8"/>
          <w:sz w:val="28"/>
          <w:szCs w:val="28"/>
        </w:rPr>
        <w:t>Legally literate,</w:t>
      </w:r>
    </w:p>
    <w:p w:rsidR="00CA36C7" w:rsidRPr="00CA36C7" w:rsidRDefault="00CA36C7" w:rsidP="0017650E">
      <w:pPr>
        <w:pStyle w:val="a4"/>
        <w:numPr>
          <w:ilvl w:val="0"/>
          <w:numId w:val="47"/>
        </w:numPr>
        <w:spacing w:line="360" w:lineRule="auto"/>
        <w:jc w:val="both"/>
        <w:rPr>
          <w:sz w:val="28"/>
          <w:szCs w:val="28"/>
        </w:rPr>
      </w:pPr>
      <w:r w:rsidRPr="00CA36C7">
        <w:rPr>
          <w:rStyle w:val="fadeinpfttw8"/>
          <w:sz w:val="28"/>
          <w:szCs w:val="28"/>
        </w:rPr>
        <w:t>Ethically reflective,</w:t>
      </w:r>
    </w:p>
    <w:p w:rsidR="00CA36C7" w:rsidRPr="00CA36C7" w:rsidRDefault="00CA36C7" w:rsidP="0017650E">
      <w:pPr>
        <w:pStyle w:val="a4"/>
        <w:numPr>
          <w:ilvl w:val="0"/>
          <w:numId w:val="47"/>
        </w:numPr>
        <w:spacing w:line="360" w:lineRule="auto"/>
        <w:jc w:val="both"/>
        <w:rPr>
          <w:sz w:val="28"/>
          <w:szCs w:val="28"/>
        </w:rPr>
      </w:pPr>
      <w:r w:rsidRPr="00CA36C7">
        <w:rPr>
          <w:rStyle w:val="fadeinpfttw8"/>
          <w:sz w:val="28"/>
          <w:szCs w:val="28"/>
        </w:rPr>
        <w:t>Professionally accountable,</w:t>
      </w:r>
    </w:p>
    <w:p w:rsidR="00CA36C7" w:rsidRPr="00CA36C7" w:rsidRDefault="00CA36C7" w:rsidP="0017650E">
      <w:pPr>
        <w:pStyle w:val="a4"/>
        <w:numPr>
          <w:ilvl w:val="0"/>
          <w:numId w:val="47"/>
        </w:numPr>
        <w:spacing w:line="360" w:lineRule="auto"/>
        <w:jc w:val="both"/>
        <w:rPr>
          <w:sz w:val="28"/>
          <w:szCs w:val="28"/>
        </w:rPr>
      </w:pPr>
      <w:r w:rsidRPr="00CA36C7">
        <w:rPr>
          <w:rStyle w:val="fadeinpfttw8"/>
          <w:sz w:val="28"/>
          <w:szCs w:val="28"/>
        </w:rPr>
        <w:t>Clinically competent,</w:t>
      </w:r>
    </w:p>
    <w:p w:rsidR="00CA36C7" w:rsidRPr="00CA36C7" w:rsidRDefault="00CA36C7" w:rsidP="0017650E">
      <w:pPr>
        <w:pStyle w:val="a4"/>
        <w:numPr>
          <w:ilvl w:val="0"/>
          <w:numId w:val="47"/>
        </w:numPr>
        <w:spacing w:line="360" w:lineRule="auto"/>
        <w:jc w:val="both"/>
        <w:rPr>
          <w:sz w:val="28"/>
          <w:szCs w:val="28"/>
        </w:rPr>
      </w:pPr>
      <w:r w:rsidRPr="00CA36C7">
        <w:rPr>
          <w:rStyle w:val="fadeinpfttw8"/>
          <w:sz w:val="28"/>
          <w:szCs w:val="28"/>
        </w:rPr>
        <w:t>And emotionally attuned.</w:t>
      </w:r>
    </w:p>
    <w:p w:rsidR="00CA36C7" w:rsidRDefault="00CA36C7" w:rsidP="00CA36C7">
      <w:pPr>
        <w:pStyle w:val="a4"/>
        <w:spacing w:line="360" w:lineRule="auto"/>
        <w:ind w:firstLine="360"/>
        <w:jc w:val="both"/>
        <w:rPr>
          <w:rStyle w:val="fadeinpfttw8"/>
          <w:sz w:val="28"/>
          <w:szCs w:val="28"/>
        </w:rPr>
      </w:pPr>
      <w:r w:rsidRPr="00CA36C7">
        <w:rPr>
          <w:rStyle w:val="fadeinpfttw8"/>
          <w:sz w:val="28"/>
          <w:szCs w:val="28"/>
        </w:rPr>
        <w:lastRenderedPageBreak/>
        <w:t>Only through this multidimensional lens can education fulfill its true purpose—not just informing, but empowering, protecting, and healing.</w:t>
      </w:r>
    </w:p>
    <w:p w:rsidR="00734F02" w:rsidRPr="00734F02" w:rsidRDefault="00734F02" w:rsidP="00734F02">
      <w:pPr>
        <w:pStyle w:val="3"/>
        <w:spacing w:line="360" w:lineRule="auto"/>
        <w:jc w:val="both"/>
        <w:rPr>
          <w:sz w:val="28"/>
          <w:szCs w:val="28"/>
        </w:rPr>
      </w:pPr>
      <w:r w:rsidRPr="00734F02">
        <w:rPr>
          <w:rStyle w:val="fadeinpfttw8"/>
          <w:sz w:val="28"/>
          <w:szCs w:val="28"/>
        </w:rPr>
        <w:t>1.7. International Guidelines on IBD and Nursing Roles</w:t>
      </w:r>
    </w:p>
    <w:p w:rsidR="00734F02" w:rsidRPr="00734F02" w:rsidRDefault="00734F02" w:rsidP="00734F02">
      <w:pPr>
        <w:pStyle w:val="a4"/>
        <w:spacing w:line="360" w:lineRule="auto"/>
        <w:ind w:firstLine="708"/>
        <w:jc w:val="both"/>
        <w:rPr>
          <w:sz w:val="28"/>
          <w:szCs w:val="28"/>
        </w:rPr>
      </w:pPr>
      <w:r w:rsidRPr="00734F02">
        <w:rPr>
          <w:rStyle w:val="fadeinpfttw8"/>
          <w:sz w:val="28"/>
          <w:szCs w:val="28"/>
        </w:rPr>
        <w:t xml:space="preserve">Clinical management of inflammatory bowel diseases (IBD) has evolved significantly over the past two decades, moving from reactive treatment of flare-ups to proactive, preventive, and patient-centered care. This evolution is reflected in international guidelines and consensus statements that increasingly recognize the </w:t>
      </w:r>
      <w:r w:rsidRPr="00734F02">
        <w:rPr>
          <w:rStyle w:val="fadeinpfttw8"/>
          <w:b/>
          <w:bCs/>
          <w:sz w:val="28"/>
          <w:szCs w:val="28"/>
        </w:rPr>
        <w:t>critical role of nurses</w:t>
      </w:r>
      <w:r w:rsidRPr="00734F02">
        <w:rPr>
          <w:rStyle w:val="fadeinpfttw8"/>
          <w:sz w:val="28"/>
          <w:szCs w:val="28"/>
        </w:rPr>
        <w:t xml:space="preserve"> in IBD management—particularly in education, monitoring, and psychosocial support.</w:t>
      </w:r>
    </w:p>
    <w:p w:rsidR="00734F02" w:rsidRPr="00734F02" w:rsidRDefault="00734F02" w:rsidP="00734F02">
      <w:pPr>
        <w:pStyle w:val="a4"/>
        <w:spacing w:line="360" w:lineRule="auto"/>
        <w:ind w:firstLine="708"/>
        <w:jc w:val="both"/>
        <w:rPr>
          <w:sz w:val="28"/>
          <w:szCs w:val="28"/>
        </w:rPr>
      </w:pPr>
      <w:r w:rsidRPr="00734F02">
        <w:rPr>
          <w:rStyle w:val="fadeinpfttw8"/>
          <w:sz w:val="28"/>
          <w:szCs w:val="28"/>
        </w:rPr>
        <w:t>This section reviews current international recommendations relevant to nursing practice in IBD, with a focus on patient education, adherence support, interdisciplinary care, and nurse specialization. These documents provide a roadmap for aligning national nursing standards with global best practices.</w:t>
      </w:r>
    </w:p>
    <w:p w:rsidR="00734F02" w:rsidRPr="00734F02" w:rsidRDefault="00734F02" w:rsidP="00734F02">
      <w:pPr>
        <w:pStyle w:val="4"/>
        <w:spacing w:line="360" w:lineRule="auto"/>
        <w:jc w:val="both"/>
        <w:rPr>
          <w:sz w:val="28"/>
          <w:szCs w:val="28"/>
        </w:rPr>
      </w:pPr>
      <w:r w:rsidRPr="00734F02">
        <w:rPr>
          <w:rStyle w:val="fadeinpfttw8"/>
          <w:sz w:val="28"/>
          <w:szCs w:val="28"/>
        </w:rPr>
        <w:t>1. European Crohn’s and Colitis Organisation (ECCO)</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The </w:t>
      </w:r>
      <w:r w:rsidRPr="00734F02">
        <w:rPr>
          <w:rStyle w:val="fadeinpfttw8"/>
          <w:b/>
          <w:bCs/>
          <w:sz w:val="28"/>
          <w:szCs w:val="28"/>
        </w:rPr>
        <w:t>ECCO Consensus on the Role of the Nurse in IBD (2021)</w:t>
      </w:r>
      <w:r w:rsidRPr="00734F02">
        <w:rPr>
          <w:rStyle w:val="fadeinpfttw8"/>
          <w:sz w:val="28"/>
          <w:szCs w:val="28"/>
        </w:rPr>
        <w:t xml:space="preserve"> provides one of the most detailed international frameworks for IBD nursing practice. It states that </w:t>
      </w:r>
      <w:r w:rsidRPr="00734F02">
        <w:rPr>
          <w:rStyle w:val="fadeinpfttw8"/>
          <w:b/>
          <w:bCs/>
          <w:sz w:val="28"/>
          <w:szCs w:val="28"/>
        </w:rPr>
        <w:t>IBD nurses are essential members of the multidisciplinary team</w:t>
      </w:r>
      <w:r w:rsidRPr="00734F02">
        <w:rPr>
          <w:rStyle w:val="fadeinpfttw8"/>
          <w:sz w:val="28"/>
          <w:szCs w:val="28"/>
        </w:rPr>
        <w:t>, with specific responsibilities in the following areas:</w:t>
      </w:r>
    </w:p>
    <w:p w:rsidR="00734F02" w:rsidRPr="00734F02" w:rsidRDefault="00734F02" w:rsidP="0017650E">
      <w:pPr>
        <w:pStyle w:val="a4"/>
        <w:numPr>
          <w:ilvl w:val="0"/>
          <w:numId w:val="48"/>
        </w:numPr>
        <w:spacing w:line="360" w:lineRule="auto"/>
        <w:jc w:val="both"/>
        <w:rPr>
          <w:sz w:val="28"/>
          <w:szCs w:val="28"/>
        </w:rPr>
      </w:pPr>
      <w:r w:rsidRPr="00734F02">
        <w:rPr>
          <w:rStyle w:val="fadeinpfttw8"/>
          <w:b/>
          <w:bCs/>
          <w:sz w:val="28"/>
          <w:szCs w:val="28"/>
        </w:rPr>
        <w:t>Education</w:t>
      </w:r>
      <w:r w:rsidRPr="00734F02">
        <w:rPr>
          <w:rStyle w:val="fadeinpfttw8"/>
          <w:sz w:val="28"/>
          <w:szCs w:val="28"/>
        </w:rPr>
        <w:t>: Nurses are expected to provide evidence-based, comprehensible, and individualized education about disease, treatment options, symptom monitoring, diet, and lifestyle.</w:t>
      </w:r>
    </w:p>
    <w:p w:rsidR="00734F02" w:rsidRPr="00734F02" w:rsidRDefault="00734F02" w:rsidP="0017650E">
      <w:pPr>
        <w:pStyle w:val="a4"/>
        <w:numPr>
          <w:ilvl w:val="0"/>
          <w:numId w:val="48"/>
        </w:numPr>
        <w:spacing w:line="360" w:lineRule="auto"/>
        <w:jc w:val="both"/>
        <w:rPr>
          <w:sz w:val="28"/>
          <w:szCs w:val="28"/>
        </w:rPr>
      </w:pPr>
      <w:r w:rsidRPr="00734F02">
        <w:rPr>
          <w:rStyle w:val="fadeinpfttw8"/>
          <w:b/>
          <w:bCs/>
          <w:sz w:val="28"/>
          <w:szCs w:val="28"/>
        </w:rPr>
        <w:t>Adherence monitoring</w:t>
      </w:r>
      <w:r w:rsidRPr="00734F02">
        <w:rPr>
          <w:rStyle w:val="fadeinpfttw8"/>
          <w:sz w:val="28"/>
          <w:szCs w:val="28"/>
        </w:rPr>
        <w:t>: ECCO emphasizes nurse involvement in adherence assessment, motivational support, and early identification of non-compliance.</w:t>
      </w:r>
    </w:p>
    <w:p w:rsidR="00734F02" w:rsidRPr="00734F02" w:rsidRDefault="00734F02" w:rsidP="0017650E">
      <w:pPr>
        <w:pStyle w:val="a4"/>
        <w:numPr>
          <w:ilvl w:val="0"/>
          <w:numId w:val="48"/>
        </w:numPr>
        <w:spacing w:line="360" w:lineRule="auto"/>
        <w:jc w:val="both"/>
        <w:rPr>
          <w:sz w:val="28"/>
          <w:szCs w:val="28"/>
        </w:rPr>
      </w:pPr>
      <w:r w:rsidRPr="00734F02">
        <w:rPr>
          <w:rStyle w:val="fadeinpfttw8"/>
          <w:b/>
          <w:bCs/>
          <w:sz w:val="28"/>
          <w:szCs w:val="28"/>
        </w:rPr>
        <w:t>Patient advocacy</w:t>
      </w:r>
      <w:r w:rsidRPr="00734F02">
        <w:rPr>
          <w:rStyle w:val="fadeinpfttw8"/>
          <w:sz w:val="28"/>
          <w:szCs w:val="28"/>
        </w:rPr>
        <w:t>: Nurses serve as intermediaries between patients and physicians, ensuring that patients’ concerns are heard and addressed.</w:t>
      </w:r>
    </w:p>
    <w:p w:rsidR="00734F02" w:rsidRPr="00734F02" w:rsidRDefault="00734F02" w:rsidP="0017650E">
      <w:pPr>
        <w:pStyle w:val="a4"/>
        <w:numPr>
          <w:ilvl w:val="0"/>
          <w:numId w:val="48"/>
        </w:numPr>
        <w:spacing w:line="360" w:lineRule="auto"/>
        <w:jc w:val="both"/>
        <w:rPr>
          <w:sz w:val="28"/>
          <w:szCs w:val="28"/>
        </w:rPr>
      </w:pPr>
      <w:r w:rsidRPr="00734F02">
        <w:rPr>
          <w:rStyle w:val="fadeinpfttw8"/>
          <w:b/>
          <w:bCs/>
          <w:sz w:val="28"/>
          <w:szCs w:val="28"/>
        </w:rPr>
        <w:t>Triage and helpline services</w:t>
      </w:r>
      <w:r w:rsidRPr="00734F02">
        <w:rPr>
          <w:rStyle w:val="fadeinpfttw8"/>
          <w:sz w:val="28"/>
          <w:szCs w:val="28"/>
        </w:rPr>
        <w:t>: IBD nurses often manage patient hotlines and triage minor flare-ups, reducing unnecessary clinic visits and improving access to care.</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lastRenderedPageBreak/>
        <w:t xml:space="preserve">ECCO also supports </w:t>
      </w:r>
      <w:r w:rsidRPr="00734F02">
        <w:rPr>
          <w:rStyle w:val="fadeinpfttw8"/>
          <w:b/>
          <w:bCs/>
          <w:sz w:val="28"/>
          <w:szCs w:val="28"/>
        </w:rPr>
        <w:t>formal training and certification for IBD nurses</w:t>
      </w:r>
      <w:r w:rsidRPr="00734F02">
        <w:rPr>
          <w:rStyle w:val="fadeinpfttw8"/>
          <w:sz w:val="28"/>
          <w:szCs w:val="28"/>
        </w:rPr>
        <w:t>, including postgraduate modules, standardized curricula, and continuing education [ECCO 2021].</w:t>
      </w:r>
    </w:p>
    <w:p w:rsidR="00734F02" w:rsidRPr="00734F02" w:rsidRDefault="00734F02" w:rsidP="00734F02">
      <w:pPr>
        <w:pStyle w:val="4"/>
        <w:spacing w:line="360" w:lineRule="auto"/>
        <w:jc w:val="both"/>
        <w:rPr>
          <w:sz w:val="28"/>
          <w:szCs w:val="28"/>
        </w:rPr>
      </w:pPr>
      <w:r w:rsidRPr="00734F02">
        <w:rPr>
          <w:rStyle w:val="fadeinpfttw8"/>
          <w:sz w:val="28"/>
          <w:szCs w:val="28"/>
        </w:rPr>
        <w:t>2. Crohn’s &amp; Colitis Foundation (CCF, USA)</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The </w:t>
      </w:r>
      <w:r w:rsidRPr="00734F02">
        <w:rPr>
          <w:rStyle w:val="fadeinpfttw8"/>
          <w:b/>
          <w:bCs/>
          <w:sz w:val="28"/>
          <w:szCs w:val="28"/>
        </w:rPr>
        <w:t>CCF Clinical Care Pathways</w:t>
      </w:r>
      <w:r w:rsidRPr="00734F02">
        <w:rPr>
          <w:rStyle w:val="fadeinpfttw8"/>
          <w:sz w:val="28"/>
          <w:szCs w:val="28"/>
        </w:rPr>
        <w:t xml:space="preserve"> and </w:t>
      </w:r>
      <w:r w:rsidRPr="00734F02">
        <w:rPr>
          <w:rStyle w:val="fadeinpfttw8"/>
          <w:b/>
          <w:bCs/>
          <w:sz w:val="28"/>
          <w:szCs w:val="28"/>
        </w:rPr>
        <w:t>Professional Resources</w:t>
      </w:r>
      <w:r w:rsidRPr="00734F02">
        <w:rPr>
          <w:rStyle w:val="fadeinpfttw8"/>
          <w:sz w:val="28"/>
          <w:szCs w:val="28"/>
        </w:rPr>
        <w:t xml:space="preserve"> stress the value of nurse coordinators and educators in IBD centers of excellence. Key recommendations include:</w:t>
      </w:r>
    </w:p>
    <w:p w:rsidR="00734F02" w:rsidRPr="00734F02" w:rsidRDefault="00734F02" w:rsidP="0017650E">
      <w:pPr>
        <w:pStyle w:val="a4"/>
        <w:numPr>
          <w:ilvl w:val="0"/>
          <w:numId w:val="49"/>
        </w:numPr>
        <w:spacing w:line="360" w:lineRule="auto"/>
        <w:jc w:val="both"/>
        <w:rPr>
          <w:sz w:val="28"/>
          <w:szCs w:val="28"/>
        </w:rPr>
      </w:pPr>
      <w:r w:rsidRPr="00734F02">
        <w:rPr>
          <w:rStyle w:val="fadeinpfttw8"/>
          <w:b/>
          <w:bCs/>
          <w:sz w:val="28"/>
          <w:szCs w:val="28"/>
        </w:rPr>
        <w:t>Assigning nurse coordinators</w:t>
      </w:r>
      <w:r w:rsidRPr="00734F02">
        <w:rPr>
          <w:rStyle w:val="fadeinpfttw8"/>
          <w:sz w:val="28"/>
          <w:szCs w:val="28"/>
        </w:rPr>
        <w:t xml:space="preserve"> to each IBD patient to ensure continuity and navigation through complex care processes.</w:t>
      </w:r>
    </w:p>
    <w:p w:rsidR="00734F02" w:rsidRPr="00734F02" w:rsidRDefault="00734F02" w:rsidP="0017650E">
      <w:pPr>
        <w:pStyle w:val="a4"/>
        <w:numPr>
          <w:ilvl w:val="0"/>
          <w:numId w:val="49"/>
        </w:numPr>
        <w:spacing w:line="360" w:lineRule="auto"/>
        <w:jc w:val="both"/>
        <w:rPr>
          <w:sz w:val="28"/>
          <w:szCs w:val="28"/>
        </w:rPr>
      </w:pPr>
      <w:r w:rsidRPr="00734F02">
        <w:rPr>
          <w:rStyle w:val="fadeinpfttw8"/>
          <w:b/>
          <w:bCs/>
          <w:sz w:val="28"/>
          <w:szCs w:val="28"/>
        </w:rPr>
        <w:t>Embedding education into routine follow-up</w:t>
      </w:r>
      <w:r w:rsidRPr="00734F02">
        <w:rPr>
          <w:rStyle w:val="fadeinpfttw8"/>
          <w:sz w:val="28"/>
          <w:szCs w:val="28"/>
        </w:rPr>
        <w:t>, particularly for medication initiation, transitions (e.g., pediatric to adult care), and pre-surgical preparation.</w:t>
      </w:r>
    </w:p>
    <w:p w:rsidR="00734F02" w:rsidRPr="00734F02" w:rsidRDefault="00734F02" w:rsidP="0017650E">
      <w:pPr>
        <w:pStyle w:val="a4"/>
        <w:numPr>
          <w:ilvl w:val="0"/>
          <w:numId w:val="49"/>
        </w:numPr>
        <w:spacing w:line="360" w:lineRule="auto"/>
        <w:jc w:val="both"/>
        <w:rPr>
          <w:sz w:val="28"/>
          <w:szCs w:val="28"/>
        </w:rPr>
      </w:pPr>
      <w:r w:rsidRPr="00734F02">
        <w:rPr>
          <w:rStyle w:val="fadeinpfttw8"/>
          <w:b/>
          <w:bCs/>
          <w:sz w:val="28"/>
          <w:szCs w:val="28"/>
        </w:rPr>
        <w:t>Providing psychosocial support</w:t>
      </w:r>
      <w:r w:rsidRPr="00734F02">
        <w:rPr>
          <w:rStyle w:val="fadeinpfttw8"/>
          <w:sz w:val="28"/>
          <w:szCs w:val="28"/>
        </w:rPr>
        <w:t>, as nurses often detect early signs of anxiety, depression, or burnout in patients.</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The CCF highlights that patients who feel “heard, supported, and informed” are more likely to adhere to treatment and achieve disease control [CCF 2020].</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Additionally, the foundation provides toolkits and training programs for nurses involved in IBD, recognizing the </w:t>
      </w:r>
      <w:r w:rsidRPr="00734F02">
        <w:rPr>
          <w:rStyle w:val="fadeinpfttw8"/>
          <w:b/>
          <w:bCs/>
          <w:sz w:val="28"/>
          <w:szCs w:val="28"/>
        </w:rPr>
        <w:t>clinical, communicative, and coordinative</w:t>
      </w:r>
      <w:r w:rsidRPr="00734F02">
        <w:rPr>
          <w:rStyle w:val="fadeinpfttw8"/>
          <w:sz w:val="28"/>
          <w:szCs w:val="28"/>
        </w:rPr>
        <w:t xml:space="preserve"> aspects of their role.</w:t>
      </w:r>
    </w:p>
    <w:p w:rsidR="00734F02" w:rsidRPr="00734F02" w:rsidRDefault="00734F02" w:rsidP="00734F02">
      <w:pPr>
        <w:pStyle w:val="4"/>
        <w:spacing w:line="360" w:lineRule="auto"/>
        <w:jc w:val="both"/>
        <w:rPr>
          <w:sz w:val="28"/>
          <w:szCs w:val="28"/>
        </w:rPr>
      </w:pPr>
      <w:r w:rsidRPr="00734F02">
        <w:rPr>
          <w:rStyle w:val="fadeinpfttw8"/>
          <w:sz w:val="28"/>
          <w:szCs w:val="28"/>
        </w:rPr>
        <w:t>3. National Institute for Health and Care Excellence (NICE, UK)</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In its </w:t>
      </w:r>
      <w:r w:rsidRPr="00734F02">
        <w:rPr>
          <w:rStyle w:val="fadeinpfttw8"/>
          <w:b/>
          <w:bCs/>
          <w:sz w:val="28"/>
          <w:szCs w:val="28"/>
        </w:rPr>
        <w:t>IBD Quality Standard (QS81)</w:t>
      </w:r>
      <w:r w:rsidRPr="00734F02">
        <w:rPr>
          <w:rStyle w:val="fadeinpfttw8"/>
          <w:sz w:val="28"/>
          <w:szCs w:val="28"/>
        </w:rPr>
        <w:t xml:space="preserve"> and related guidance, NICE identifies </w:t>
      </w:r>
      <w:r w:rsidRPr="00734F02">
        <w:rPr>
          <w:rStyle w:val="fadeinpfttw8"/>
          <w:b/>
          <w:bCs/>
          <w:sz w:val="28"/>
          <w:szCs w:val="28"/>
        </w:rPr>
        <w:t>nursing interventions as quality indicators</w:t>
      </w:r>
      <w:r w:rsidRPr="00734F02">
        <w:rPr>
          <w:rStyle w:val="fadeinpfttw8"/>
          <w:sz w:val="28"/>
          <w:szCs w:val="28"/>
        </w:rPr>
        <w:t xml:space="preserve"> in IBD services. According to the guidelines:</w:t>
      </w:r>
    </w:p>
    <w:p w:rsidR="00734F02" w:rsidRPr="00734F02" w:rsidRDefault="00734F02" w:rsidP="0017650E">
      <w:pPr>
        <w:pStyle w:val="a4"/>
        <w:numPr>
          <w:ilvl w:val="0"/>
          <w:numId w:val="50"/>
        </w:numPr>
        <w:spacing w:line="360" w:lineRule="auto"/>
        <w:jc w:val="both"/>
        <w:rPr>
          <w:sz w:val="28"/>
          <w:szCs w:val="28"/>
        </w:rPr>
      </w:pPr>
      <w:r w:rsidRPr="00734F02">
        <w:rPr>
          <w:rStyle w:val="fadeinpfttw8"/>
          <w:sz w:val="28"/>
          <w:szCs w:val="28"/>
        </w:rPr>
        <w:t xml:space="preserve">All IBD patients should have </w:t>
      </w:r>
      <w:r w:rsidRPr="00734F02">
        <w:rPr>
          <w:rStyle w:val="fadeinpfttw8"/>
          <w:b/>
          <w:bCs/>
          <w:sz w:val="28"/>
          <w:szCs w:val="28"/>
        </w:rPr>
        <w:t>access to an IBD specialist nurse</w:t>
      </w:r>
      <w:r w:rsidRPr="00734F02">
        <w:rPr>
          <w:rStyle w:val="fadeinpfttw8"/>
          <w:sz w:val="28"/>
          <w:szCs w:val="28"/>
        </w:rPr>
        <w:t xml:space="preserve"> who can provide education, support, and access to services between medical appointments.</w:t>
      </w:r>
    </w:p>
    <w:p w:rsidR="00734F02" w:rsidRPr="00734F02" w:rsidRDefault="00734F02" w:rsidP="0017650E">
      <w:pPr>
        <w:pStyle w:val="a4"/>
        <w:numPr>
          <w:ilvl w:val="0"/>
          <w:numId w:val="50"/>
        </w:numPr>
        <w:spacing w:line="360" w:lineRule="auto"/>
        <w:jc w:val="both"/>
        <w:rPr>
          <w:sz w:val="28"/>
          <w:szCs w:val="28"/>
        </w:rPr>
      </w:pPr>
      <w:r w:rsidRPr="00734F02">
        <w:rPr>
          <w:rStyle w:val="fadeinpfttw8"/>
          <w:sz w:val="28"/>
          <w:szCs w:val="28"/>
        </w:rPr>
        <w:t xml:space="preserve">Nurses should be </w:t>
      </w:r>
      <w:r w:rsidRPr="00734F02">
        <w:rPr>
          <w:rStyle w:val="fadeinpfttw8"/>
          <w:b/>
          <w:bCs/>
          <w:sz w:val="28"/>
          <w:szCs w:val="28"/>
        </w:rPr>
        <w:t>involved in shared decision-making</w:t>
      </w:r>
      <w:r w:rsidRPr="00734F02">
        <w:rPr>
          <w:rStyle w:val="fadeinpfttw8"/>
          <w:sz w:val="28"/>
          <w:szCs w:val="28"/>
        </w:rPr>
        <w:t>, especially when patients are weighing risks and benefits of immunosuppressive or surgical options.</w:t>
      </w:r>
    </w:p>
    <w:p w:rsidR="00734F02" w:rsidRPr="00734F02" w:rsidRDefault="00734F02" w:rsidP="0017650E">
      <w:pPr>
        <w:pStyle w:val="a4"/>
        <w:numPr>
          <w:ilvl w:val="0"/>
          <w:numId w:val="50"/>
        </w:numPr>
        <w:spacing w:line="360" w:lineRule="auto"/>
        <w:jc w:val="both"/>
        <w:rPr>
          <w:sz w:val="28"/>
          <w:szCs w:val="28"/>
        </w:rPr>
      </w:pPr>
      <w:r w:rsidRPr="00734F02">
        <w:rPr>
          <w:rStyle w:val="fadeinpfttw8"/>
          <w:b/>
          <w:bCs/>
          <w:sz w:val="28"/>
          <w:szCs w:val="28"/>
        </w:rPr>
        <w:t>Telephone support and digital access</w:t>
      </w:r>
      <w:r w:rsidRPr="00734F02">
        <w:rPr>
          <w:rStyle w:val="fadeinpfttw8"/>
          <w:sz w:val="28"/>
          <w:szCs w:val="28"/>
        </w:rPr>
        <w:t xml:space="preserve"> are encouraged as ways to ensure continuity and timely response to patient concerns.</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lastRenderedPageBreak/>
        <w:t xml:space="preserve">NICE links nurse involvement to </w:t>
      </w:r>
      <w:r w:rsidRPr="00734F02">
        <w:rPr>
          <w:rStyle w:val="fadeinpfttw8"/>
          <w:b/>
          <w:bCs/>
          <w:sz w:val="28"/>
          <w:szCs w:val="28"/>
        </w:rPr>
        <w:t>reduced emergency visits, better patient satisfaction, and improved adherence</w:t>
      </w:r>
      <w:r w:rsidRPr="00734F02">
        <w:rPr>
          <w:rStyle w:val="fadeinpfttw8"/>
          <w:sz w:val="28"/>
          <w:szCs w:val="28"/>
        </w:rPr>
        <w:t>, aligning with our study’s findings.</w:t>
      </w:r>
    </w:p>
    <w:p w:rsidR="00734F02" w:rsidRPr="00734F02" w:rsidRDefault="00734F02" w:rsidP="00734F02">
      <w:pPr>
        <w:pStyle w:val="4"/>
        <w:spacing w:line="360" w:lineRule="auto"/>
        <w:jc w:val="both"/>
        <w:rPr>
          <w:sz w:val="28"/>
          <w:szCs w:val="28"/>
        </w:rPr>
      </w:pPr>
      <w:r w:rsidRPr="00734F02">
        <w:rPr>
          <w:rStyle w:val="fadeinpfttw8"/>
          <w:sz w:val="28"/>
          <w:szCs w:val="28"/>
        </w:rPr>
        <w:t>4. World Health Organization (WHO)</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While not disease-specific, WHO has repeatedly advocated for an </w:t>
      </w:r>
      <w:r w:rsidRPr="00734F02">
        <w:rPr>
          <w:rStyle w:val="fadeinpfttw8"/>
          <w:b/>
          <w:bCs/>
          <w:sz w:val="28"/>
          <w:szCs w:val="28"/>
        </w:rPr>
        <w:t>expanded role of nurses in chronic disease prevention and control</w:t>
      </w:r>
      <w:r w:rsidRPr="00734F02">
        <w:rPr>
          <w:rStyle w:val="fadeinpfttw8"/>
          <w:sz w:val="28"/>
          <w:szCs w:val="28"/>
        </w:rPr>
        <w:t xml:space="preserve">. Its </w:t>
      </w:r>
      <w:r w:rsidRPr="00734F02">
        <w:rPr>
          <w:rStyle w:val="fadeinpfttw8"/>
          <w:b/>
          <w:bCs/>
          <w:sz w:val="28"/>
          <w:szCs w:val="28"/>
        </w:rPr>
        <w:t>Global Strategy on People-Centred and Integrated Health Services (2016)</w:t>
      </w:r>
      <w:r w:rsidRPr="00734F02">
        <w:rPr>
          <w:rStyle w:val="fadeinpfttw8"/>
          <w:sz w:val="28"/>
          <w:szCs w:val="28"/>
        </w:rPr>
        <w:t xml:space="preserve"> emphasizes that:</w:t>
      </w:r>
    </w:p>
    <w:p w:rsidR="00734F02" w:rsidRPr="00734F02" w:rsidRDefault="00734F02" w:rsidP="0017650E">
      <w:pPr>
        <w:pStyle w:val="a4"/>
        <w:numPr>
          <w:ilvl w:val="0"/>
          <w:numId w:val="51"/>
        </w:numPr>
        <w:spacing w:line="360" w:lineRule="auto"/>
        <w:jc w:val="both"/>
        <w:rPr>
          <w:sz w:val="28"/>
          <w:szCs w:val="28"/>
        </w:rPr>
      </w:pPr>
      <w:r w:rsidRPr="00734F02">
        <w:rPr>
          <w:rStyle w:val="fadeinpfttw8"/>
          <w:sz w:val="28"/>
          <w:szCs w:val="28"/>
        </w:rPr>
        <w:t xml:space="preserve">Nurses should be </w:t>
      </w:r>
      <w:r w:rsidRPr="00734F02">
        <w:rPr>
          <w:rStyle w:val="fadeinpfttw8"/>
          <w:b/>
          <w:bCs/>
          <w:sz w:val="28"/>
          <w:szCs w:val="28"/>
        </w:rPr>
        <w:t>empowered to provide education, psychosocial support, and behavioral interventions</w:t>
      </w:r>
      <w:r w:rsidRPr="00734F02">
        <w:rPr>
          <w:rStyle w:val="fadeinpfttw8"/>
          <w:sz w:val="28"/>
          <w:szCs w:val="28"/>
        </w:rPr>
        <w:t>, especially in community and outpatient settings.</w:t>
      </w:r>
    </w:p>
    <w:p w:rsidR="00734F02" w:rsidRPr="00734F02" w:rsidRDefault="00734F02" w:rsidP="0017650E">
      <w:pPr>
        <w:pStyle w:val="a4"/>
        <w:numPr>
          <w:ilvl w:val="0"/>
          <w:numId w:val="51"/>
        </w:numPr>
        <w:spacing w:line="360" w:lineRule="auto"/>
        <w:jc w:val="both"/>
        <w:rPr>
          <w:sz w:val="28"/>
          <w:szCs w:val="28"/>
        </w:rPr>
      </w:pPr>
      <w:r w:rsidRPr="00734F02">
        <w:rPr>
          <w:rStyle w:val="fadeinpfttw8"/>
          <w:sz w:val="28"/>
          <w:szCs w:val="28"/>
        </w:rPr>
        <w:t xml:space="preserve">National health systems should </w:t>
      </w:r>
      <w:r w:rsidRPr="00734F02">
        <w:rPr>
          <w:rStyle w:val="fadeinpfttw8"/>
          <w:b/>
          <w:bCs/>
          <w:sz w:val="28"/>
          <w:szCs w:val="28"/>
        </w:rPr>
        <w:t>invest in nurse-led models of care</w:t>
      </w:r>
      <w:r w:rsidRPr="00734F02">
        <w:rPr>
          <w:rStyle w:val="fadeinpfttw8"/>
          <w:sz w:val="28"/>
          <w:szCs w:val="28"/>
        </w:rPr>
        <w:t>, supported by policy frameworks and resource allocation.</w:t>
      </w:r>
    </w:p>
    <w:p w:rsidR="00734F02" w:rsidRPr="00734F02" w:rsidRDefault="00734F02" w:rsidP="0017650E">
      <w:pPr>
        <w:pStyle w:val="a4"/>
        <w:numPr>
          <w:ilvl w:val="0"/>
          <w:numId w:val="51"/>
        </w:numPr>
        <w:spacing w:line="360" w:lineRule="auto"/>
        <w:jc w:val="both"/>
        <w:rPr>
          <w:sz w:val="28"/>
          <w:szCs w:val="28"/>
        </w:rPr>
      </w:pPr>
      <w:r w:rsidRPr="00734F02">
        <w:rPr>
          <w:rStyle w:val="fadeinpfttw8"/>
          <w:sz w:val="28"/>
          <w:szCs w:val="28"/>
        </w:rPr>
        <w:t xml:space="preserve">Chronic disease management should be </w:t>
      </w:r>
      <w:r w:rsidRPr="00734F02">
        <w:rPr>
          <w:rStyle w:val="fadeinpfttw8"/>
          <w:b/>
          <w:bCs/>
          <w:sz w:val="28"/>
          <w:szCs w:val="28"/>
        </w:rPr>
        <w:t>holistic and multidisciplinary</w:t>
      </w:r>
      <w:r w:rsidRPr="00734F02">
        <w:rPr>
          <w:rStyle w:val="fadeinpfttw8"/>
          <w:sz w:val="28"/>
          <w:szCs w:val="28"/>
        </w:rPr>
        <w:t>, with nurses acting as case managers and navigators.</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This broad policy framework supports the inclusion of IBD nurse education programs as part of national healthcare planning, particularly in low- and middle-income countries.</w:t>
      </w:r>
    </w:p>
    <w:p w:rsidR="00734F02" w:rsidRPr="00734F02" w:rsidRDefault="00734F02" w:rsidP="00734F02">
      <w:pPr>
        <w:pStyle w:val="4"/>
        <w:spacing w:line="360" w:lineRule="auto"/>
        <w:jc w:val="both"/>
        <w:rPr>
          <w:sz w:val="28"/>
          <w:szCs w:val="28"/>
        </w:rPr>
      </w:pPr>
      <w:r w:rsidRPr="00734F02">
        <w:rPr>
          <w:rStyle w:val="fadeinpfttw8"/>
          <w:sz w:val="28"/>
          <w:szCs w:val="28"/>
        </w:rPr>
        <w:t>5. Emerging Global Trends and Unified Themes</w:t>
      </w:r>
    </w:p>
    <w:p w:rsidR="00734F02" w:rsidRPr="00734F02" w:rsidRDefault="00734F02" w:rsidP="00734F02">
      <w:pPr>
        <w:pStyle w:val="a4"/>
        <w:spacing w:line="360" w:lineRule="auto"/>
        <w:ind w:firstLine="708"/>
        <w:jc w:val="both"/>
        <w:rPr>
          <w:sz w:val="28"/>
          <w:szCs w:val="28"/>
        </w:rPr>
      </w:pPr>
      <w:r w:rsidRPr="00734F02">
        <w:rPr>
          <w:rStyle w:val="fadeinpfttw8"/>
          <w:sz w:val="28"/>
          <w:szCs w:val="28"/>
        </w:rPr>
        <w:t xml:space="preserve">Across these guidelines and initiatives, </w:t>
      </w:r>
      <w:r w:rsidRPr="00734F02">
        <w:rPr>
          <w:rStyle w:val="fadeinpfttw8"/>
          <w:b/>
          <w:bCs/>
          <w:sz w:val="28"/>
          <w:szCs w:val="28"/>
        </w:rPr>
        <w:t>five consistent themes emerge</w:t>
      </w:r>
      <w:r w:rsidRPr="00734F02">
        <w:rPr>
          <w:rStyle w:val="fadeinpfttw8"/>
          <w:sz w:val="28"/>
          <w:szCs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16"/>
        <w:gridCol w:w="7079"/>
      </w:tblGrid>
      <w:tr w:rsidR="00734F02" w:rsidRPr="00734F02" w:rsidTr="00734F02">
        <w:trPr>
          <w:tblHeader/>
          <w:tblCellSpacing w:w="15" w:type="dxa"/>
        </w:trPr>
        <w:tc>
          <w:tcPr>
            <w:tcW w:w="0" w:type="auto"/>
            <w:vAlign w:val="center"/>
            <w:hideMark/>
          </w:tcPr>
          <w:p w:rsidR="00734F02" w:rsidRPr="00734F02" w:rsidRDefault="00734F02" w:rsidP="00734F02">
            <w:pPr>
              <w:spacing w:line="360" w:lineRule="auto"/>
              <w:jc w:val="both"/>
              <w:rPr>
                <w:b/>
                <w:bCs/>
                <w:sz w:val="28"/>
                <w:szCs w:val="28"/>
              </w:rPr>
            </w:pPr>
            <w:r w:rsidRPr="00734F02">
              <w:rPr>
                <w:rStyle w:val="fadeinpfttw8"/>
                <w:b/>
                <w:bCs/>
                <w:sz w:val="28"/>
                <w:szCs w:val="28"/>
              </w:rPr>
              <w:t>Theme</w:t>
            </w:r>
          </w:p>
        </w:tc>
        <w:tc>
          <w:tcPr>
            <w:tcW w:w="0" w:type="auto"/>
            <w:vAlign w:val="center"/>
            <w:hideMark/>
          </w:tcPr>
          <w:p w:rsidR="00734F02" w:rsidRPr="00734F02" w:rsidRDefault="00734F02" w:rsidP="00734F02">
            <w:pPr>
              <w:spacing w:line="360" w:lineRule="auto"/>
              <w:jc w:val="both"/>
              <w:rPr>
                <w:b/>
                <w:bCs/>
                <w:sz w:val="28"/>
                <w:szCs w:val="28"/>
              </w:rPr>
            </w:pPr>
            <w:r w:rsidRPr="00734F02">
              <w:rPr>
                <w:rStyle w:val="fadeinpfttw8"/>
                <w:b/>
                <w:bCs/>
                <w:sz w:val="28"/>
                <w:szCs w:val="28"/>
              </w:rPr>
              <w:t>Description</w:t>
            </w:r>
          </w:p>
        </w:tc>
      </w:tr>
      <w:tr w:rsidR="00734F02" w:rsidRPr="00734F02" w:rsidTr="00734F02">
        <w:trPr>
          <w:tblCellSpacing w:w="15" w:type="dxa"/>
        </w:trPr>
        <w:tc>
          <w:tcPr>
            <w:tcW w:w="0" w:type="auto"/>
            <w:vAlign w:val="center"/>
            <w:hideMark/>
          </w:tcPr>
          <w:p w:rsidR="00734F02" w:rsidRPr="00734F02" w:rsidRDefault="00734F02" w:rsidP="00734F02">
            <w:pPr>
              <w:spacing w:line="360" w:lineRule="auto"/>
              <w:jc w:val="both"/>
              <w:rPr>
                <w:sz w:val="28"/>
                <w:szCs w:val="28"/>
              </w:rPr>
            </w:pPr>
            <w:r w:rsidRPr="00734F02">
              <w:rPr>
                <w:rStyle w:val="fadeinpfttw8"/>
                <w:b/>
                <w:bCs/>
                <w:sz w:val="28"/>
                <w:szCs w:val="28"/>
              </w:rPr>
              <w:t>Formal nurse specialization</w:t>
            </w:r>
          </w:p>
        </w:tc>
        <w:tc>
          <w:tcPr>
            <w:tcW w:w="0" w:type="auto"/>
            <w:vAlign w:val="center"/>
            <w:hideMark/>
          </w:tcPr>
          <w:p w:rsidR="00734F02" w:rsidRPr="00734F02" w:rsidRDefault="00734F02" w:rsidP="00734F02">
            <w:pPr>
              <w:spacing w:line="360" w:lineRule="auto"/>
              <w:jc w:val="both"/>
              <w:rPr>
                <w:sz w:val="28"/>
                <w:szCs w:val="28"/>
              </w:rPr>
            </w:pPr>
            <w:r w:rsidRPr="00734F02">
              <w:rPr>
                <w:rStyle w:val="fadeinpfttw8"/>
                <w:sz w:val="28"/>
                <w:szCs w:val="28"/>
              </w:rPr>
              <w:t>IBD nurses require disease-specific training and continuing education.</w:t>
            </w:r>
          </w:p>
        </w:tc>
      </w:tr>
      <w:tr w:rsidR="00734F02" w:rsidRPr="00734F02" w:rsidTr="00734F02">
        <w:trPr>
          <w:tblCellSpacing w:w="15" w:type="dxa"/>
        </w:trPr>
        <w:tc>
          <w:tcPr>
            <w:tcW w:w="0" w:type="auto"/>
            <w:vAlign w:val="center"/>
            <w:hideMark/>
          </w:tcPr>
          <w:p w:rsidR="00734F02" w:rsidRPr="00734F02" w:rsidRDefault="00734F02" w:rsidP="00734F02">
            <w:pPr>
              <w:spacing w:line="360" w:lineRule="auto"/>
              <w:jc w:val="both"/>
              <w:rPr>
                <w:sz w:val="28"/>
                <w:szCs w:val="28"/>
              </w:rPr>
            </w:pPr>
            <w:r w:rsidRPr="00734F02">
              <w:rPr>
                <w:rStyle w:val="fadeinpfttw8"/>
                <w:b/>
                <w:bCs/>
                <w:sz w:val="28"/>
                <w:szCs w:val="28"/>
              </w:rPr>
              <w:t>Embedded education</w:t>
            </w:r>
          </w:p>
        </w:tc>
        <w:tc>
          <w:tcPr>
            <w:tcW w:w="0" w:type="auto"/>
            <w:vAlign w:val="center"/>
            <w:hideMark/>
          </w:tcPr>
          <w:p w:rsidR="00734F02" w:rsidRPr="00734F02" w:rsidRDefault="00734F02" w:rsidP="00734F02">
            <w:pPr>
              <w:spacing w:line="360" w:lineRule="auto"/>
              <w:jc w:val="both"/>
              <w:rPr>
                <w:sz w:val="28"/>
                <w:szCs w:val="28"/>
              </w:rPr>
            </w:pPr>
            <w:r w:rsidRPr="00734F02">
              <w:rPr>
                <w:rStyle w:val="fadeinpfttw8"/>
                <w:sz w:val="28"/>
                <w:szCs w:val="28"/>
              </w:rPr>
              <w:t>Education should be ongoing, structured, and personalized.</w:t>
            </w:r>
          </w:p>
        </w:tc>
      </w:tr>
      <w:tr w:rsidR="00734F02" w:rsidRPr="00734F02" w:rsidTr="00734F02">
        <w:trPr>
          <w:tblCellSpacing w:w="15" w:type="dxa"/>
        </w:trPr>
        <w:tc>
          <w:tcPr>
            <w:tcW w:w="0" w:type="auto"/>
            <w:vAlign w:val="center"/>
            <w:hideMark/>
          </w:tcPr>
          <w:p w:rsidR="00734F02" w:rsidRPr="00734F02" w:rsidRDefault="00734F02" w:rsidP="00734F02">
            <w:pPr>
              <w:spacing w:line="360" w:lineRule="auto"/>
              <w:jc w:val="both"/>
              <w:rPr>
                <w:sz w:val="28"/>
                <w:szCs w:val="28"/>
              </w:rPr>
            </w:pPr>
            <w:r w:rsidRPr="00734F02">
              <w:rPr>
                <w:rStyle w:val="fadeinpfttw8"/>
                <w:b/>
                <w:bCs/>
                <w:sz w:val="28"/>
                <w:szCs w:val="28"/>
              </w:rPr>
              <w:t>Adherence support</w:t>
            </w:r>
          </w:p>
        </w:tc>
        <w:tc>
          <w:tcPr>
            <w:tcW w:w="0" w:type="auto"/>
            <w:vAlign w:val="center"/>
            <w:hideMark/>
          </w:tcPr>
          <w:p w:rsidR="00734F02" w:rsidRPr="00734F02" w:rsidRDefault="00734F02" w:rsidP="00734F02">
            <w:pPr>
              <w:spacing w:line="360" w:lineRule="auto"/>
              <w:jc w:val="both"/>
              <w:rPr>
                <w:sz w:val="28"/>
                <w:szCs w:val="28"/>
              </w:rPr>
            </w:pPr>
            <w:r w:rsidRPr="00734F02">
              <w:rPr>
                <w:rStyle w:val="fadeinpfttw8"/>
                <w:sz w:val="28"/>
                <w:szCs w:val="28"/>
              </w:rPr>
              <w:t>Nurses are key to monitoring and improving adherence.</w:t>
            </w:r>
          </w:p>
        </w:tc>
      </w:tr>
      <w:tr w:rsidR="00734F02" w:rsidRPr="00734F02" w:rsidTr="00734F02">
        <w:trPr>
          <w:tblCellSpacing w:w="15" w:type="dxa"/>
        </w:trPr>
        <w:tc>
          <w:tcPr>
            <w:tcW w:w="0" w:type="auto"/>
            <w:vAlign w:val="center"/>
            <w:hideMark/>
          </w:tcPr>
          <w:p w:rsidR="00734F02" w:rsidRPr="00734F02" w:rsidRDefault="00734F02" w:rsidP="00734F02">
            <w:pPr>
              <w:spacing w:line="360" w:lineRule="auto"/>
              <w:jc w:val="both"/>
              <w:rPr>
                <w:sz w:val="28"/>
                <w:szCs w:val="28"/>
              </w:rPr>
            </w:pPr>
            <w:r w:rsidRPr="00734F02">
              <w:rPr>
                <w:rStyle w:val="fadeinpfttw8"/>
                <w:b/>
                <w:bCs/>
                <w:sz w:val="28"/>
                <w:szCs w:val="28"/>
              </w:rPr>
              <w:t>Continuity of care</w:t>
            </w:r>
          </w:p>
        </w:tc>
        <w:tc>
          <w:tcPr>
            <w:tcW w:w="0" w:type="auto"/>
            <w:vAlign w:val="center"/>
            <w:hideMark/>
          </w:tcPr>
          <w:p w:rsidR="00734F02" w:rsidRPr="00734F02" w:rsidRDefault="00734F02" w:rsidP="00734F02">
            <w:pPr>
              <w:spacing w:line="360" w:lineRule="auto"/>
              <w:jc w:val="both"/>
              <w:rPr>
                <w:sz w:val="28"/>
                <w:szCs w:val="28"/>
              </w:rPr>
            </w:pPr>
            <w:r w:rsidRPr="00734F02">
              <w:rPr>
                <w:rStyle w:val="fadeinpfttw8"/>
                <w:sz w:val="28"/>
                <w:szCs w:val="28"/>
              </w:rPr>
              <w:t>Nurse coordinators ensure seamless transitions and follow-up.</w:t>
            </w:r>
          </w:p>
        </w:tc>
      </w:tr>
      <w:tr w:rsidR="00734F02" w:rsidRPr="00734F02" w:rsidTr="00734F02">
        <w:trPr>
          <w:tblCellSpacing w:w="15" w:type="dxa"/>
        </w:trPr>
        <w:tc>
          <w:tcPr>
            <w:tcW w:w="0" w:type="auto"/>
            <w:vAlign w:val="center"/>
            <w:hideMark/>
          </w:tcPr>
          <w:p w:rsidR="00734F02" w:rsidRPr="00734F02" w:rsidRDefault="00734F02" w:rsidP="00734F02">
            <w:pPr>
              <w:spacing w:line="360" w:lineRule="auto"/>
              <w:jc w:val="both"/>
              <w:rPr>
                <w:sz w:val="28"/>
                <w:szCs w:val="28"/>
              </w:rPr>
            </w:pPr>
            <w:r w:rsidRPr="00734F02">
              <w:rPr>
                <w:rStyle w:val="fadeinpfttw8"/>
                <w:b/>
                <w:bCs/>
                <w:sz w:val="28"/>
                <w:szCs w:val="28"/>
              </w:rPr>
              <w:t>Interdisciplinary teamwork</w:t>
            </w:r>
          </w:p>
        </w:tc>
        <w:tc>
          <w:tcPr>
            <w:tcW w:w="0" w:type="auto"/>
            <w:vAlign w:val="center"/>
            <w:hideMark/>
          </w:tcPr>
          <w:p w:rsidR="00734F02" w:rsidRPr="00734F02" w:rsidRDefault="00734F02" w:rsidP="00734F02">
            <w:pPr>
              <w:spacing w:line="360" w:lineRule="auto"/>
              <w:jc w:val="both"/>
              <w:rPr>
                <w:sz w:val="28"/>
                <w:szCs w:val="28"/>
              </w:rPr>
            </w:pPr>
            <w:r w:rsidRPr="00734F02">
              <w:rPr>
                <w:rStyle w:val="fadeinpfttw8"/>
                <w:sz w:val="28"/>
                <w:szCs w:val="28"/>
              </w:rPr>
              <w:t>Nurses operate within a team-based care model with shared responsibilities.</w:t>
            </w:r>
          </w:p>
        </w:tc>
      </w:tr>
    </w:tbl>
    <w:p w:rsidR="00734F02" w:rsidRPr="00734F02" w:rsidRDefault="00734F02" w:rsidP="00734F02">
      <w:pPr>
        <w:pStyle w:val="a4"/>
        <w:spacing w:line="360" w:lineRule="auto"/>
        <w:ind w:firstLine="708"/>
        <w:jc w:val="both"/>
        <w:rPr>
          <w:sz w:val="28"/>
          <w:szCs w:val="28"/>
        </w:rPr>
      </w:pPr>
      <w:r w:rsidRPr="00734F02">
        <w:rPr>
          <w:rStyle w:val="fadeinpfttw8"/>
          <w:sz w:val="28"/>
          <w:szCs w:val="28"/>
        </w:rPr>
        <w:lastRenderedPageBreak/>
        <w:t xml:space="preserve">These themes highlight the </w:t>
      </w:r>
      <w:r w:rsidRPr="00734F02">
        <w:rPr>
          <w:rStyle w:val="fadeinpfttw8"/>
          <w:b/>
          <w:bCs/>
          <w:sz w:val="28"/>
          <w:szCs w:val="28"/>
        </w:rPr>
        <w:t>transformation of the nurse’s role</w:t>
      </w:r>
      <w:r w:rsidRPr="00734F02">
        <w:rPr>
          <w:rStyle w:val="fadeinpfttw8"/>
          <w:sz w:val="28"/>
          <w:szCs w:val="28"/>
        </w:rPr>
        <w:t xml:space="preserve">: from task-focused care delivery to </w:t>
      </w:r>
      <w:r w:rsidRPr="00734F02">
        <w:rPr>
          <w:rStyle w:val="fadeinpfttw8"/>
          <w:b/>
          <w:bCs/>
          <w:sz w:val="28"/>
          <w:szCs w:val="28"/>
        </w:rPr>
        <w:t>relational, strategic, and educational leadership</w:t>
      </w:r>
      <w:r w:rsidRPr="00734F02">
        <w:rPr>
          <w:rStyle w:val="fadeinpfttw8"/>
          <w:sz w:val="28"/>
          <w:szCs w:val="28"/>
        </w:rPr>
        <w:t>.</w:t>
      </w:r>
    </w:p>
    <w:p w:rsidR="00734F02" w:rsidRPr="00734F02" w:rsidRDefault="00734F02" w:rsidP="00734F02">
      <w:pPr>
        <w:pStyle w:val="4"/>
        <w:spacing w:line="360" w:lineRule="auto"/>
        <w:jc w:val="both"/>
        <w:rPr>
          <w:sz w:val="28"/>
          <w:szCs w:val="28"/>
        </w:rPr>
      </w:pPr>
      <w:r w:rsidRPr="00734F02">
        <w:rPr>
          <w:rStyle w:val="fadeinpfttw8"/>
          <w:sz w:val="28"/>
          <w:szCs w:val="28"/>
        </w:rPr>
        <w:t>6. Implementation Challenges and Local Adaptation</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Despite strong international consensus, implementation of nursing recommendations varies widely:</w:t>
      </w:r>
    </w:p>
    <w:p w:rsidR="00734F02" w:rsidRPr="00734F02" w:rsidRDefault="00734F02" w:rsidP="0017650E">
      <w:pPr>
        <w:pStyle w:val="a4"/>
        <w:numPr>
          <w:ilvl w:val="0"/>
          <w:numId w:val="52"/>
        </w:numPr>
        <w:spacing w:line="360" w:lineRule="auto"/>
        <w:jc w:val="both"/>
        <w:rPr>
          <w:sz w:val="28"/>
          <w:szCs w:val="28"/>
        </w:rPr>
      </w:pPr>
      <w:r w:rsidRPr="00734F02">
        <w:rPr>
          <w:rStyle w:val="fadeinpfttw8"/>
          <w:b/>
          <w:bCs/>
          <w:sz w:val="28"/>
          <w:szCs w:val="28"/>
        </w:rPr>
        <w:t>Resource constraints</w:t>
      </w:r>
      <w:r w:rsidRPr="00734F02">
        <w:rPr>
          <w:rStyle w:val="fadeinpfttw8"/>
          <w:sz w:val="28"/>
          <w:szCs w:val="28"/>
        </w:rPr>
        <w:t>: In many settings, IBD clinics lack funding for dedicated nurse positions.</w:t>
      </w:r>
    </w:p>
    <w:p w:rsidR="00734F02" w:rsidRPr="00734F02" w:rsidRDefault="00734F02" w:rsidP="0017650E">
      <w:pPr>
        <w:pStyle w:val="a4"/>
        <w:numPr>
          <w:ilvl w:val="0"/>
          <w:numId w:val="52"/>
        </w:numPr>
        <w:spacing w:line="360" w:lineRule="auto"/>
        <w:jc w:val="both"/>
        <w:rPr>
          <w:sz w:val="28"/>
          <w:szCs w:val="28"/>
        </w:rPr>
      </w:pPr>
      <w:r w:rsidRPr="00734F02">
        <w:rPr>
          <w:rStyle w:val="fadeinpfttw8"/>
          <w:b/>
          <w:bCs/>
          <w:sz w:val="28"/>
          <w:szCs w:val="28"/>
        </w:rPr>
        <w:t>Training gaps</w:t>
      </w:r>
      <w:r w:rsidRPr="00734F02">
        <w:rPr>
          <w:rStyle w:val="fadeinpfttw8"/>
          <w:sz w:val="28"/>
          <w:szCs w:val="28"/>
        </w:rPr>
        <w:t>: Few countries offer formal IBD nursing specialization pathways or certification.</w:t>
      </w:r>
    </w:p>
    <w:p w:rsidR="00734F02" w:rsidRPr="00734F02" w:rsidRDefault="00734F02" w:rsidP="0017650E">
      <w:pPr>
        <w:pStyle w:val="a4"/>
        <w:numPr>
          <w:ilvl w:val="0"/>
          <w:numId w:val="52"/>
        </w:numPr>
        <w:spacing w:line="360" w:lineRule="auto"/>
        <w:jc w:val="both"/>
        <w:rPr>
          <w:sz w:val="28"/>
          <w:szCs w:val="28"/>
        </w:rPr>
      </w:pPr>
      <w:r w:rsidRPr="00734F02">
        <w:rPr>
          <w:rStyle w:val="fadeinpfttw8"/>
          <w:b/>
          <w:bCs/>
          <w:sz w:val="28"/>
          <w:szCs w:val="28"/>
        </w:rPr>
        <w:t>Systemic barriers</w:t>
      </w:r>
      <w:r w:rsidRPr="00734F02">
        <w:rPr>
          <w:rStyle w:val="fadeinpfttw8"/>
          <w:sz w:val="28"/>
          <w:szCs w:val="28"/>
        </w:rPr>
        <w:t>: Traditional physician-centered models may limit nurses’ autonomy in patient education.</w:t>
      </w:r>
    </w:p>
    <w:p w:rsidR="00734F02" w:rsidRPr="00734F02" w:rsidRDefault="00734F02" w:rsidP="00734F02">
      <w:pPr>
        <w:pStyle w:val="a4"/>
        <w:spacing w:line="360" w:lineRule="auto"/>
        <w:jc w:val="both"/>
        <w:rPr>
          <w:sz w:val="28"/>
          <w:szCs w:val="28"/>
        </w:rPr>
      </w:pPr>
      <w:r w:rsidRPr="00734F02">
        <w:rPr>
          <w:rStyle w:val="fadeinpfttw8"/>
          <w:sz w:val="28"/>
          <w:szCs w:val="28"/>
        </w:rPr>
        <w:t>Overcoming these barriers requires:</w:t>
      </w:r>
    </w:p>
    <w:p w:rsidR="00734F02" w:rsidRPr="00734F02" w:rsidRDefault="00734F02" w:rsidP="0017650E">
      <w:pPr>
        <w:pStyle w:val="a4"/>
        <w:numPr>
          <w:ilvl w:val="0"/>
          <w:numId w:val="53"/>
        </w:numPr>
        <w:spacing w:line="360" w:lineRule="auto"/>
        <w:jc w:val="both"/>
        <w:rPr>
          <w:sz w:val="28"/>
          <w:szCs w:val="28"/>
        </w:rPr>
      </w:pPr>
      <w:r w:rsidRPr="00734F02">
        <w:rPr>
          <w:rStyle w:val="fadeinpfttw8"/>
          <w:sz w:val="28"/>
          <w:szCs w:val="28"/>
        </w:rPr>
        <w:t>Advocacy from professional associations,</w:t>
      </w:r>
    </w:p>
    <w:p w:rsidR="00734F02" w:rsidRPr="00734F02" w:rsidRDefault="00734F02" w:rsidP="0017650E">
      <w:pPr>
        <w:pStyle w:val="a4"/>
        <w:numPr>
          <w:ilvl w:val="0"/>
          <w:numId w:val="53"/>
        </w:numPr>
        <w:spacing w:line="360" w:lineRule="auto"/>
        <w:jc w:val="both"/>
        <w:rPr>
          <w:sz w:val="28"/>
          <w:szCs w:val="28"/>
        </w:rPr>
      </w:pPr>
      <w:r w:rsidRPr="00734F02">
        <w:rPr>
          <w:rStyle w:val="fadeinpfttw8"/>
          <w:sz w:val="28"/>
          <w:szCs w:val="28"/>
        </w:rPr>
        <w:t>Investment in nurse training,</w:t>
      </w:r>
    </w:p>
    <w:p w:rsidR="00734F02" w:rsidRPr="00734F02" w:rsidRDefault="00734F02" w:rsidP="0017650E">
      <w:pPr>
        <w:pStyle w:val="a4"/>
        <w:numPr>
          <w:ilvl w:val="0"/>
          <w:numId w:val="53"/>
        </w:numPr>
        <w:spacing w:line="360" w:lineRule="auto"/>
        <w:jc w:val="both"/>
        <w:rPr>
          <w:sz w:val="28"/>
          <w:szCs w:val="28"/>
        </w:rPr>
      </w:pPr>
      <w:r w:rsidRPr="00734F02">
        <w:rPr>
          <w:rStyle w:val="fadeinpfttw8"/>
          <w:sz w:val="28"/>
          <w:szCs w:val="28"/>
        </w:rPr>
        <w:t xml:space="preserve">Policy reform to </w:t>
      </w:r>
      <w:r w:rsidRPr="00734F02">
        <w:rPr>
          <w:rStyle w:val="fadeinpfttw8"/>
          <w:b/>
          <w:bCs/>
          <w:sz w:val="28"/>
          <w:szCs w:val="28"/>
        </w:rPr>
        <w:t>legitimize and institutionalize</w:t>
      </w:r>
      <w:r w:rsidRPr="00734F02">
        <w:rPr>
          <w:rStyle w:val="fadeinpfttw8"/>
          <w:sz w:val="28"/>
          <w:szCs w:val="28"/>
        </w:rPr>
        <w:t xml:space="preserve"> nursing education as a clinical standard.</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 xml:space="preserve">Local adaptation is also essential. For example, in Ukraine, implementation must align with the </w:t>
      </w:r>
      <w:r w:rsidRPr="00734F02">
        <w:rPr>
          <w:rStyle w:val="fadeinpfttw8"/>
          <w:b/>
          <w:bCs/>
          <w:sz w:val="28"/>
          <w:szCs w:val="28"/>
        </w:rPr>
        <w:t>Unified Clinical Protocols</w:t>
      </w:r>
      <w:r w:rsidRPr="00734F02">
        <w:rPr>
          <w:rStyle w:val="fadeinpfttw8"/>
          <w:sz w:val="28"/>
          <w:szCs w:val="28"/>
        </w:rPr>
        <w:t>, National Health Service frameworks, and ongoing health reform priorities.</w:t>
      </w:r>
    </w:p>
    <w:p w:rsidR="00734F02" w:rsidRPr="00734F02" w:rsidRDefault="00734F02" w:rsidP="00734F02">
      <w:pPr>
        <w:pStyle w:val="3"/>
        <w:spacing w:line="360" w:lineRule="auto"/>
        <w:jc w:val="both"/>
        <w:rPr>
          <w:sz w:val="28"/>
          <w:szCs w:val="28"/>
        </w:rPr>
      </w:pPr>
      <w:r w:rsidRPr="00734F02">
        <w:rPr>
          <w:rStyle w:val="fadeinpfttw8"/>
          <w:sz w:val="28"/>
          <w:szCs w:val="28"/>
        </w:rPr>
        <w:t>Conclusion: From Guidelines to Practice</w:t>
      </w:r>
    </w:p>
    <w:p w:rsidR="00734F02" w:rsidRPr="00734F02" w:rsidRDefault="00734F02" w:rsidP="00734F02">
      <w:pPr>
        <w:pStyle w:val="a4"/>
        <w:spacing w:line="360" w:lineRule="auto"/>
        <w:ind w:firstLine="708"/>
        <w:jc w:val="both"/>
        <w:rPr>
          <w:sz w:val="28"/>
          <w:szCs w:val="28"/>
        </w:rPr>
      </w:pPr>
      <w:r w:rsidRPr="00734F02">
        <w:rPr>
          <w:rStyle w:val="fadeinpfttw8"/>
          <w:sz w:val="28"/>
          <w:szCs w:val="28"/>
        </w:rPr>
        <w:t xml:space="preserve">International guidelines clearly affirm the </w:t>
      </w:r>
      <w:r w:rsidRPr="00734F02">
        <w:rPr>
          <w:rStyle w:val="fadeinpfttw8"/>
          <w:b/>
          <w:bCs/>
          <w:sz w:val="28"/>
          <w:szCs w:val="28"/>
        </w:rPr>
        <w:t>central role of nurses in IBD education and adherence promotion</w:t>
      </w:r>
      <w:r w:rsidRPr="00734F02">
        <w:rPr>
          <w:rStyle w:val="fadeinpfttw8"/>
          <w:sz w:val="28"/>
          <w:szCs w:val="28"/>
        </w:rPr>
        <w:t>. These roles are not supplementary but essential—part of evidence-based, high-quality care delivery.</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Aligning national practice with ECCO, CCF, NICE, and WHO standards means:</w:t>
      </w:r>
    </w:p>
    <w:p w:rsidR="00734F02" w:rsidRPr="00734F02" w:rsidRDefault="00734F02" w:rsidP="0017650E">
      <w:pPr>
        <w:pStyle w:val="a4"/>
        <w:numPr>
          <w:ilvl w:val="0"/>
          <w:numId w:val="54"/>
        </w:numPr>
        <w:spacing w:line="360" w:lineRule="auto"/>
        <w:jc w:val="both"/>
        <w:rPr>
          <w:sz w:val="28"/>
          <w:szCs w:val="28"/>
        </w:rPr>
      </w:pPr>
      <w:r w:rsidRPr="00734F02">
        <w:rPr>
          <w:rStyle w:val="fadeinpfttw8"/>
          <w:sz w:val="28"/>
          <w:szCs w:val="28"/>
        </w:rPr>
        <w:lastRenderedPageBreak/>
        <w:t>Creating specialized roles for IBD nurse educators,</w:t>
      </w:r>
    </w:p>
    <w:p w:rsidR="00734F02" w:rsidRPr="00734F02" w:rsidRDefault="00734F02" w:rsidP="0017650E">
      <w:pPr>
        <w:pStyle w:val="a4"/>
        <w:numPr>
          <w:ilvl w:val="0"/>
          <w:numId w:val="54"/>
        </w:numPr>
        <w:spacing w:line="360" w:lineRule="auto"/>
        <w:jc w:val="both"/>
        <w:rPr>
          <w:sz w:val="28"/>
          <w:szCs w:val="28"/>
        </w:rPr>
      </w:pPr>
      <w:r w:rsidRPr="00734F02">
        <w:rPr>
          <w:rStyle w:val="fadeinpfttw8"/>
          <w:sz w:val="28"/>
          <w:szCs w:val="28"/>
        </w:rPr>
        <w:t>Embedding education into structured care pathways,</w:t>
      </w:r>
    </w:p>
    <w:p w:rsidR="00734F02" w:rsidRPr="00734F02" w:rsidRDefault="00734F02" w:rsidP="0017650E">
      <w:pPr>
        <w:pStyle w:val="a4"/>
        <w:numPr>
          <w:ilvl w:val="0"/>
          <w:numId w:val="54"/>
        </w:numPr>
        <w:spacing w:line="360" w:lineRule="auto"/>
        <w:jc w:val="both"/>
        <w:rPr>
          <w:sz w:val="28"/>
          <w:szCs w:val="28"/>
        </w:rPr>
      </w:pPr>
      <w:r w:rsidRPr="00734F02">
        <w:rPr>
          <w:rStyle w:val="fadeinpfttw8"/>
          <w:sz w:val="28"/>
          <w:szCs w:val="28"/>
        </w:rPr>
        <w:t>Supporting nurses through training, recognition, and adequate staffing,</w:t>
      </w:r>
    </w:p>
    <w:p w:rsidR="00734F02" w:rsidRPr="00734F02" w:rsidRDefault="00734F02" w:rsidP="0017650E">
      <w:pPr>
        <w:pStyle w:val="a4"/>
        <w:numPr>
          <w:ilvl w:val="0"/>
          <w:numId w:val="54"/>
        </w:numPr>
        <w:spacing w:line="360" w:lineRule="auto"/>
        <w:jc w:val="both"/>
        <w:rPr>
          <w:sz w:val="28"/>
          <w:szCs w:val="28"/>
        </w:rPr>
      </w:pPr>
      <w:r w:rsidRPr="00734F02">
        <w:rPr>
          <w:rStyle w:val="fadeinpfttw8"/>
          <w:sz w:val="28"/>
          <w:szCs w:val="28"/>
        </w:rPr>
        <w:t>And ultimately empowering patients through informed, sustained, and empathetic engagement.</w:t>
      </w:r>
    </w:p>
    <w:p w:rsidR="00734F02" w:rsidRPr="00734F02" w:rsidRDefault="00734F02" w:rsidP="00734F02">
      <w:pPr>
        <w:pStyle w:val="a4"/>
        <w:spacing w:line="360" w:lineRule="auto"/>
        <w:ind w:firstLine="360"/>
        <w:jc w:val="both"/>
        <w:rPr>
          <w:sz w:val="28"/>
          <w:szCs w:val="28"/>
        </w:rPr>
      </w:pPr>
      <w:r w:rsidRPr="00734F02">
        <w:rPr>
          <w:rStyle w:val="fadeinpfttw8"/>
          <w:sz w:val="28"/>
          <w:szCs w:val="28"/>
        </w:rPr>
        <w:t>By bridging clinical, behavioral, and educational practice, nurses stand at the forefront of 21st-century IBD care.</w:t>
      </w:r>
    </w:p>
    <w:p w:rsidR="00734F02" w:rsidRPr="00734F02" w:rsidRDefault="00734F02" w:rsidP="00734F02">
      <w:pPr>
        <w:pStyle w:val="a4"/>
        <w:spacing w:line="360" w:lineRule="auto"/>
        <w:ind w:firstLine="360"/>
        <w:jc w:val="both"/>
        <w:rPr>
          <w:sz w:val="28"/>
          <w:szCs w:val="28"/>
        </w:rPr>
      </w:pPr>
    </w:p>
    <w:p w:rsidR="00C6525B" w:rsidRPr="00734F02" w:rsidRDefault="00C6525B" w:rsidP="00734F02">
      <w:pPr>
        <w:pStyle w:val="a4"/>
        <w:spacing w:line="360" w:lineRule="auto"/>
        <w:jc w:val="both"/>
        <w:rPr>
          <w:rStyle w:val="fadeinpfttw8"/>
          <w:sz w:val="28"/>
          <w:szCs w:val="28"/>
        </w:rPr>
      </w:pPr>
      <w:r w:rsidRPr="00734F02">
        <w:rPr>
          <w:rStyle w:val="fadeinpfttw8"/>
          <w:sz w:val="28"/>
          <w:szCs w:val="28"/>
        </w:rPr>
        <w:br w:type="page"/>
      </w:r>
    </w:p>
    <w:p w:rsidR="00C6525B" w:rsidRPr="00C6525B" w:rsidRDefault="00C6525B" w:rsidP="00C6525B">
      <w:pPr>
        <w:pStyle w:val="2"/>
        <w:spacing w:line="360" w:lineRule="auto"/>
        <w:jc w:val="center"/>
        <w:rPr>
          <w:rFonts w:ascii="Times New Roman" w:hAnsi="Times New Roman" w:cs="Times New Roman"/>
          <w:sz w:val="28"/>
          <w:szCs w:val="28"/>
        </w:rPr>
      </w:pPr>
      <w:r w:rsidRPr="00C6525B">
        <w:rPr>
          <w:rStyle w:val="fadeinpfttw8"/>
          <w:rFonts w:ascii="Times New Roman" w:hAnsi="Times New Roman" w:cs="Times New Roman"/>
          <w:sz w:val="28"/>
          <w:szCs w:val="28"/>
        </w:rPr>
        <w:lastRenderedPageBreak/>
        <w:t>CHAPTER 2. RESEARCH DESIGN AND RESULTS</w:t>
      </w:r>
    </w:p>
    <w:p w:rsidR="00C6525B" w:rsidRPr="00C6525B" w:rsidRDefault="00C6525B" w:rsidP="00C6525B">
      <w:pPr>
        <w:pStyle w:val="3"/>
        <w:spacing w:line="360" w:lineRule="auto"/>
        <w:rPr>
          <w:sz w:val="28"/>
          <w:szCs w:val="28"/>
        </w:rPr>
      </w:pPr>
      <w:r w:rsidRPr="00C6525B">
        <w:rPr>
          <w:rStyle w:val="fadeinpfttw8"/>
          <w:sz w:val="28"/>
          <w:szCs w:val="28"/>
        </w:rPr>
        <w:t>2.1. Research Setting, Population, and Methods</w:t>
      </w:r>
    </w:p>
    <w:p w:rsidR="00C6525B" w:rsidRPr="00C6525B" w:rsidRDefault="00C6525B" w:rsidP="00C6525B">
      <w:pPr>
        <w:pStyle w:val="a4"/>
        <w:spacing w:line="360" w:lineRule="auto"/>
        <w:jc w:val="both"/>
        <w:rPr>
          <w:sz w:val="28"/>
          <w:szCs w:val="28"/>
        </w:rPr>
      </w:pPr>
      <w:r w:rsidRPr="00C6525B">
        <w:rPr>
          <w:rStyle w:val="fadeinpfttw8"/>
          <w:sz w:val="28"/>
          <w:szCs w:val="28"/>
        </w:rPr>
        <w:t>This study was conducted at a regional medical facility equipped with a specialized gastroenterology department, where patients with inflammatory bowel diseases (IBD) routinely receive diagnostic, therapeutic, and follow-up care. The facility was selected due to its high patient volume, established treatment protocols, and active nursing involvement in outpatient care services.</w:t>
      </w:r>
    </w:p>
    <w:p w:rsidR="00C6525B" w:rsidRPr="00C6525B" w:rsidRDefault="00C6525B" w:rsidP="00C6525B">
      <w:pPr>
        <w:pStyle w:val="a4"/>
        <w:spacing w:line="360" w:lineRule="auto"/>
        <w:jc w:val="both"/>
        <w:rPr>
          <w:sz w:val="28"/>
          <w:szCs w:val="28"/>
        </w:rPr>
      </w:pPr>
      <w:r w:rsidRPr="00C6525B">
        <w:rPr>
          <w:rStyle w:val="fadeinpfttw8"/>
          <w:sz w:val="28"/>
          <w:szCs w:val="28"/>
        </w:rPr>
        <w:t xml:space="preserve">The study population consisted of </w:t>
      </w:r>
      <w:r w:rsidRPr="00C6525B">
        <w:rPr>
          <w:rStyle w:val="fadeinpfttw8"/>
          <w:b/>
          <w:bCs/>
          <w:sz w:val="28"/>
          <w:szCs w:val="28"/>
        </w:rPr>
        <w:t>85 adult patients</w:t>
      </w:r>
      <w:r w:rsidRPr="00C6525B">
        <w:rPr>
          <w:rStyle w:val="fadeinpfttw8"/>
          <w:sz w:val="28"/>
          <w:szCs w:val="28"/>
        </w:rPr>
        <w:t xml:space="preserve"> diagnosed with either Crohn’s disease (CD) or ulcerative colitis (UC), confirmed via colonoscopy, histology, and clinical assessment. Participants were recruited consecutively during routine follow-up visits between January</w:t>
      </w:r>
      <w:r w:rsidR="004C2D9A">
        <w:rPr>
          <w:rStyle w:val="fadeinpfttw8"/>
          <w:sz w:val="28"/>
          <w:szCs w:val="28"/>
          <w:lang w:val="uk-UA"/>
        </w:rPr>
        <w:t xml:space="preserve"> 2024</w:t>
      </w:r>
      <w:r w:rsidRPr="00C6525B">
        <w:rPr>
          <w:rStyle w:val="fadeinpfttw8"/>
          <w:sz w:val="28"/>
          <w:szCs w:val="28"/>
        </w:rPr>
        <w:t xml:space="preserve"> and April 2025. Inclusion criteria required patients to be aged 18 years or older, have a confirmed diagnosis of IBD for at least six months, and be currently receiving pharmacological treatment. Patients with severe psychiatric disorders, cognitive impairment, or inability to provide informed consent were excluded from the study.</w:t>
      </w:r>
    </w:p>
    <w:p w:rsidR="00C6525B" w:rsidRPr="00C6525B" w:rsidRDefault="00C6525B" w:rsidP="00C6525B">
      <w:pPr>
        <w:pStyle w:val="a4"/>
        <w:spacing w:line="360" w:lineRule="auto"/>
        <w:jc w:val="both"/>
        <w:rPr>
          <w:sz w:val="28"/>
          <w:szCs w:val="28"/>
        </w:rPr>
      </w:pPr>
      <w:r w:rsidRPr="00C6525B">
        <w:rPr>
          <w:rStyle w:val="fadeinpfttw8"/>
          <w:sz w:val="28"/>
          <w:szCs w:val="28"/>
        </w:rPr>
        <w:t xml:space="preserve">The </w:t>
      </w:r>
      <w:r w:rsidRPr="00C6525B">
        <w:rPr>
          <w:rStyle w:val="fadeinpfttw8"/>
          <w:b/>
          <w:bCs/>
          <w:sz w:val="28"/>
          <w:szCs w:val="28"/>
        </w:rPr>
        <w:t>gender distribution</w:t>
      </w:r>
      <w:r w:rsidRPr="00C6525B">
        <w:rPr>
          <w:rStyle w:val="fadeinpfttw8"/>
          <w:sz w:val="28"/>
          <w:szCs w:val="28"/>
        </w:rPr>
        <w:t xml:space="preserve"> of participants reflected the epidemiological trends observed in IBD. Of the 85 patients:</w:t>
      </w:r>
    </w:p>
    <w:p w:rsidR="00C6525B" w:rsidRPr="00C6525B" w:rsidRDefault="00C6525B" w:rsidP="0017650E">
      <w:pPr>
        <w:pStyle w:val="a4"/>
        <w:numPr>
          <w:ilvl w:val="0"/>
          <w:numId w:val="5"/>
        </w:numPr>
        <w:spacing w:line="360" w:lineRule="auto"/>
        <w:jc w:val="both"/>
        <w:rPr>
          <w:sz w:val="28"/>
          <w:szCs w:val="28"/>
        </w:rPr>
      </w:pPr>
      <w:r w:rsidRPr="00C6525B">
        <w:rPr>
          <w:rStyle w:val="fadeinpfttw8"/>
          <w:b/>
          <w:bCs/>
          <w:sz w:val="28"/>
          <w:szCs w:val="28"/>
        </w:rPr>
        <w:t>52 were female (61.2%)</w:t>
      </w:r>
    </w:p>
    <w:p w:rsidR="00C6525B" w:rsidRPr="00C6525B" w:rsidRDefault="00C6525B" w:rsidP="0017650E">
      <w:pPr>
        <w:pStyle w:val="a4"/>
        <w:numPr>
          <w:ilvl w:val="0"/>
          <w:numId w:val="5"/>
        </w:numPr>
        <w:spacing w:line="360" w:lineRule="auto"/>
        <w:jc w:val="both"/>
        <w:rPr>
          <w:rStyle w:val="fadeinpfttw8"/>
          <w:sz w:val="28"/>
          <w:szCs w:val="28"/>
        </w:rPr>
      </w:pPr>
      <w:r w:rsidRPr="00C6525B">
        <w:rPr>
          <w:rStyle w:val="fadeinpfttw8"/>
          <w:b/>
          <w:bCs/>
          <w:sz w:val="28"/>
          <w:szCs w:val="28"/>
        </w:rPr>
        <w:t>33 were male (38.8%)</w:t>
      </w:r>
    </w:p>
    <w:p w:rsidR="00C6525B" w:rsidRPr="00C6525B" w:rsidRDefault="00C6525B" w:rsidP="00C6525B">
      <w:pPr>
        <w:pStyle w:val="a4"/>
        <w:spacing w:line="360" w:lineRule="auto"/>
        <w:jc w:val="both"/>
        <w:rPr>
          <w:sz w:val="28"/>
          <w:szCs w:val="28"/>
        </w:rPr>
      </w:pPr>
      <w:r w:rsidRPr="00C6525B">
        <w:rPr>
          <w:rStyle w:val="fadeinpfttw8"/>
          <w:sz w:val="28"/>
          <w:szCs w:val="28"/>
        </w:rPr>
        <w:t xml:space="preserve">This is consistent with existing literature, which indicates that </w:t>
      </w:r>
      <w:r w:rsidRPr="00C6525B">
        <w:rPr>
          <w:rStyle w:val="fadeinpfttw8"/>
          <w:b/>
          <w:bCs/>
          <w:sz w:val="28"/>
          <w:szCs w:val="28"/>
        </w:rPr>
        <w:t>ulcerative colitis tends to occur equally in both sexes</w:t>
      </w:r>
      <w:r w:rsidRPr="00C6525B">
        <w:rPr>
          <w:rStyle w:val="fadeinpfttw8"/>
          <w:sz w:val="28"/>
          <w:szCs w:val="28"/>
        </w:rPr>
        <w:t xml:space="preserve">, whereas </w:t>
      </w:r>
      <w:r w:rsidRPr="00C6525B">
        <w:rPr>
          <w:rStyle w:val="fadeinpfttw8"/>
          <w:b/>
          <w:bCs/>
          <w:sz w:val="28"/>
          <w:szCs w:val="28"/>
        </w:rPr>
        <w:t>Crohn’s disease demonstrates a slight female predominance</w:t>
      </w:r>
      <w:r w:rsidRPr="00C6525B">
        <w:rPr>
          <w:rStyle w:val="fadeinpfttw8"/>
          <w:sz w:val="28"/>
          <w:szCs w:val="28"/>
        </w:rPr>
        <w:t xml:space="preserve">, particularly in adult populations [51][52]. The </w:t>
      </w:r>
      <w:r w:rsidRPr="00C6525B">
        <w:rPr>
          <w:rStyle w:val="fadeinpfttw8"/>
          <w:b/>
          <w:bCs/>
          <w:sz w:val="28"/>
          <w:szCs w:val="28"/>
        </w:rPr>
        <w:t>mean age</w:t>
      </w:r>
      <w:r w:rsidRPr="00C6525B">
        <w:rPr>
          <w:rStyle w:val="fadeinpfttw8"/>
          <w:sz w:val="28"/>
          <w:szCs w:val="28"/>
        </w:rPr>
        <w:t xml:space="preserve"> of participants was 36.4 years (SD = 11.3), with an age range from 18 to 62 years. The majority (72%) were diagnosed between the ages of 20 and 40, which aligns with typical onset patterns described in clinical epidemiology [53].</w:t>
      </w:r>
    </w:p>
    <w:p w:rsidR="00C6525B" w:rsidRPr="00C6525B" w:rsidRDefault="00C6525B" w:rsidP="00C6525B">
      <w:pPr>
        <w:pStyle w:val="a4"/>
        <w:spacing w:line="360" w:lineRule="auto"/>
        <w:jc w:val="both"/>
        <w:rPr>
          <w:sz w:val="28"/>
          <w:szCs w:val="28"/>
        </w:rPr>
      </w:pPr>
      <w:r w:rsidRPr="00C6525B">
        <w:rPr>
          <w:rStyle w:val="fadeinpfttw8"/>
          <w:sz w:val="28"/>
          <w:szCs w:val="28"/>
        </w:rPr>
        <w:t xml:space="preserve">The research followed a </w:t>
      </w:r>
      <w:r w:rsidRPr="00C6525B">
        <w:rPr>
          <w:rStyle w:val="fadeinpfttw8"/>
          <w:b/>
          <w:bCs/>
          <w:sz w:val="28"/>
          <w:szCs w:val="28"/>
        </w:rPr>
        <w:t>mixed-methods design</w:t>
      </w:r>
      <w:r w:rsidRPr="00C6525B">
        <w:rPr>
          <w:rStyle w:val="fadeinpfttw8"/>
          <w:sz w:val="28"/>
          <w:szCs w:val="28"/>
        </w:rPr>
        <w:t xml:space="preserve">, combining quantitative and qualitative approaches to explore the effect of nursing educational interventions on medication </w:t>
      </w:r>
      <w:r w:rsidRPr="00C6525B">
        <w:rPr>
          <w:rStyle w:val="fadeinpfttw8"/>
          <w:sz w:val="28"/>
          <w:szCs w:val="28"/>
        </w:rPr>
        <w:lastRenderedPageBreak/>
        <w:t>adherence. Ethical approval was obtained from the institutional review board of the hosting clinic. All participants signed written informed consent forms before taking part in the study.</w:t>
      </w:r>
    </w:p>
    <w:p w:rsidR="00C6525B" w:rsidRPr="00C6525B" w:rsidRDefault="00C6525B" w:rsidP="00C6525B">
      <w:pPr>
        <w:pStyle w:val="a4"/>
        <w:spacing w:line="360" w:lineRule="auto"/>
        <w:jc w:val="both"/>
        <w:rPr>
          <w:sz w:val="28"/>
          <w:szCs w:val="28"/>
        </w:rPr>
      </w:pPr>
      <w:r w:rsidRPr="00C6525B">
        <w:rPr>
          <w:rStyle w:val="fadeinpfttw8"/>
          <w:b/>
          <w:bCs/>
          <w:sz w:val="28"/>
          <w:szCs w:val="28"/>
        </w:rPr>
        <w:t>Study phases included the following steps:</w:t>
      </w:r>
    </w:p>
    <w:p w:rsidR="00C6525B" w:rsidRPr="00C6525B" w:rsidRDefault="00C6525B" w:rsidP="0017650E">
      <w:pPr>
        <w:pStyle w:val="a4"/>
        <w:numPr>
          <w:ilvl w:val="0"/>
          <w:numId w:val="6"/>
        </w:numPr>
        <w:spacing w:line="360" w:lineRule="auto"/>
        <w:jc w:val="both"/>
        <w:rPr>
          <w:sz w:val="28"/>
          <w:szCs w:val="28"/>
        </w:rPr>
      </w:pPr>
      <w:r w:rsidRPr="00C6525B">
        <w:rPr>
          <w:rStyle w:val="fadeinpfttw8"/>
          <w:b/>
          <w:bCs/>
          <w:sz w:val="28"/>
          <w:szCs w:val="28"/>
        </w:rPr>
        <w:t>Baseline assessment:</w:t>
      </w:r>
      <w:r w:rsidRPr="00C6525B">
        <w:rPr>
          <w:rStyle w:val="fadeinpfttw8"/>
          <w:sz w:val="28"/>
          <w:szCs w:val="28"/>
        </w:rPr>
        <w:t xml:space="preserve"> Collection of demographic data, disease characteristics, and baseline medication adherence using the Morisky Medication Adherence Scale (MMAS-8).</w:t>
      </w:r>
    </w:p>
    <w:p w:rsidR="00C6525B" w:rsidRPr="00C6525B" w:rsidRDefault="00C6525B" w:rsidP="0017650E">
      <w:pPr>
        <w:pStyle w:val="a4"/>
        <w:numPr>
          <w:ilvl w:val="0"/>
          <w:numId w:val="6"/>
        </w:numPr>
        <w:spacing w:line="360" w:lineRule="auto"/>
        <w:jc w:val="both"/>
        <w:rPr>
          <w:sz w:val="28"/>
          <w:szCs w:val="28"/>
        </w:rPr>
      </w:pPr>
      <w:r w:rsidRPr="00C6525B">
        <w:rPr>
          <w:rStyle w:val="fadeinpfttw8"/>
          <w:b/>
          <w:bCs/>
          <w:sz w:val="28"/>
          <w:szCs w:val="28"/>
        </w:rPr>
        <w:t>Knowledge assessment:</w:t>
      </w:r>
      <w:r w:rsidRPr="00C6525B">
        <w:rPr>
          <w:rStyle w:val="fadeinpfttw8"/>
          <w:sz w:val="28"/>
          <w:szCs w:val="28"/>
        </w:rPr>
        <w:t xml:space="preserve"> Administration of a structured questionnaire evaluating patient understanding of IBD and its treatment.</w:t>
      </w:r>
    </w:p>
    <w:p w:rsidR="00C6525B" w:rsidRPr="00C6525B" w:rsidRDefault="00C6525B" w:rsidP="0017650E">
      <w:pPr>
        <w:pStyle w:val="a4"/>
        <w:numPr>
          <w:ilvl w:val="0"/>
          <w:numId w:val="6"/>
        </w:numPr>
        <w:spacing w:line="360" w:lineRule="auto"/>
        <w:jc w:val="both"/>
        <w:rPr>
          <w:sz w:val="28"/>
          <w:szCs w:val="28"/>
        </w:rPr>
      </w:pPr>
      <w:r w:rsidRPr="00C6525B">
        <w:rPr>
          <w:rStyle w:val="fadeinpfttw8"/>
          <w:b/>
          <w:bCs/>
          <w:sz w:val="28"/>
          <w:szCs w:val="28"/>
        </w:rPr>
        <w:t>Educational intervention:</w:t>
      </w:r>
      <w:r w:rsidRPr="00C6525B">
        <w:rPr>
          <w:rStyle w:val="fadeinpfttw8"/>
          <w:sz w:val="28"/>
          <w:szCs w:val="28"/>
        </w:rPr>
        <w:t xml:space="preserve"> A three-month nurse-led program that included personalized counseling, printed educational materials, visual aids, and scheduled follow-up sessions.</w:t>
      </w:r>
    </w:p>
    <w:p w:rsidR="00C6525B" w:rsidRPr="00C6525B" w:rsidRDefault="00C6525B" w:rsidP="0017650E">
      <w:pPr>
        <w:pStyle w:val="a4"/>
        <w:numPr>
          <w:ilvl w:val="0"/>
          <w:numId w:val="6"/>
        </w:numPr>
        <w:spacing w:line="360" w:lineRule="auto"/>
        <w:jc w:val="both"/>
        <w:rPr>
          <w:sz w:val="28"/>
          <w:szCs w:val="28"/>
        </w:rPr>
      </w:pPr>
      <w:r w:rsidRPr="00C6525B">
        <w:rPr>
          <w:rStyle w:val="fadeinpfttw8"/>
          <w:b/>
          <w:bCs/>
          <w:sz w:val="28"/>
          <w:szCs w:val="28"/>
        </w:rPr>
        <w:t>Post-intervention evaluation:</w:t>
      </w:r>
      <w:r w:rsidRPr="00C6525B">
        <w:rPr>
          <w:rStyle w:val="fadeinpfttw8"/>
          <w:sz w:val="28"/>
          <w:szCs w:val="28"/>
        </w:rPr>
        <w:t xml:space="preserve"> Reassessment using MMAS-8 and the knowledge questionnaire to determine changes in adherence and understanding.</w:t>
      </w:r>
    </w:p>
    <w:p w:rsidR="00C6525B" w:rsidRPr="00C6525B" w:rsidRDefault="00C6525B" w:rsidP="0017650E">
      <w:pPr>
        <w:pStyle w:val="a4"/>
        <w:numPr>
          <w:ilvl w:val="0"/>
          <w:numId w:val="6"/>
        </w:numPr>
        <w:spacing w:line="360" w:lineRule="auto"/>
        <w:jc w:val="both"/>
        <w:rPr>
          <w:sz w:val="28"/>
          <w:szCs w:val="28"/>
        </w:rPr>
      </w:pPr>
      <w:r w:rsidRPr="00C6525B">
        <w:rPr>
          <w:rStyle w:val="fadeinpfttw8"/>
          <w:b/>
          <w:bCs/>
          <w:sz w:val="28"/>
          <w:szCs w:val="28"/>
        </w:rPr>
        <w:t>Qualitative feedback:</w:t>
      </w:r>
      <w:r w:rsidRPr="00C6525B">
        <w:rPr>
          <w:rStyle w:val="fadeinpfttw8"/>
          <w:sz w:val="28"/>
          <w:szCs w:val="28"/>
        </w:rPr>
        <w:t xml:space="preserve"> Collection of semi-structured patient interviews to assess satisfaction with the educational intervention and perceived improvements in disease management.</w:t>
      </w:r>
    </w:p>
    <w:p w:rsidR="00C6525B" w:rsidRPr="00C6525B" w:rsidRDefault="00C6525B" w:rsidP="00C6525B">
      <w:pPr>
        <w:pStyle w:val="a4"/>
        <w:spacing w:line="360" w:lineRule="auto"/>
        <w:jc w:val="both"/>
        <w:rPr>
          <w:sz w:val="28"/>
          <w:szCs w:val="28"/>
        </w:rPr>
      </w:pPr>
      <w:r w:rsidRPr="00C6525B">
        <w:rPr>
          <w:rStyle w:val="fadeinpfttw8"/>
          <w:sz w:val="28"/>
          <w:szCs w:val="28"/>
        </w:rPr>
        <w:t>Quantitative data were analyzed using SPSS (version 27.0). Descriptive statistics summarized demographic characteristics, while paired t-tests and chi-square tests were used to compare pre- and post-intervention adherence and knowledge levels. Qualitative data were transcribed verbatim and analyzed thematically using Braun and Clarke’s framework [54].</w:t>
      </w:r>
    </w:p>
    <w:p w:rsidR="00C6525B" w:rsidRPr="00C6525B" w:rsidRDefault="00C6525B" w:rsidP="00C6525B">
      <w:pPr>
        <w:pStyle w:val="a4"/>
        <w:spacing w:line="360" w:lineRule="auto"/>
        <w:jc w:val="both"/>
        <w:rPr>
          <w:sz w:val="28"/>
          <w:szCs w:val="28"/>
        </w:rPr>
      </w:pPr>
      <w:r w:rsidRPr="00C6525B">
        <w:rPr>
          <w:rStyle w:val="fadeinpfttw8"/>
          <w:sz w:val="28"/>
          <w:szCs w:val="28"/>
        </w:rPr>
        <w:t>The following sections present the results of this research, starting with a demographic and clinical profile of the sample.</w:t>
      </w:r>
    </w:p>
    <w:p w:rsidR="0021583F" w:rsidRPr="00194EEF" w:rsidRDefault="0021583F" w:rsidP="00194EEF">
      <w:pPr>
        <w:pStyle w:val="3"/>
        <w:spacing w:line="360" w:lineRule="auto"/>
        <w:jc w:val="both"/>
        <w:rPr>
          <w:sz w:val="28"/>
          <w:szCs w:val="28"/>
        </w:rPr>
      </w:pPr>
      <w:r w:rsidRPr="00194EEF">
        <w:rPr>
          <w:rStyle w:val="fadeinpfttw8"/>
          <w:sz w:val="28"/>
          <w:szCs w:val="28"/>
        </w:rPr>
        <w:t>2.2. Demographic and Clinical Characteristics of the Study Sample</w:t>
      </w:r>
    </w:p>
    <w:p w:rsidR="0021583F" w:rsidRPr="00194EEF" w:rsidRDefault="0021583F" w:rsidP="00194EEF">
      <w:pPr>
        <w:pStyle w:val="a4"/>
        <w:spacing w:line="360" w:lineRule="auto"/>
        <w:jc w:val="both"/>
        <w:rPr>
          <w:sz w:val="28"/>
          <w:szCs w:val="28"/>
        </w:rPr>
      </w:pPr>
      <w:r w:rsidRPr="00194EEF">
        <w:rPr>
          <w:rStyle w:val="fadeinpfttw8"/>
          <w:sz w:val="28"/>
          <w:szCs w:val="28"/>
        </w:rPr>
        <w:t xml:space="preserve">The study cohort consisted of 85 adult patients diagnosed with inflammatory bowel disease (IBD), including both Crohn’s disease (CD) and ulcerative colitis (UC). The demographic </w:t>
      </w:r>
      <w:r w:rsidRPr="00194EEF">
        <w:rPr>
          <w:rStyle w:val="fadeinpfttw8"/>
          <w:sz w:val="28"/>
          <w:szCs w:val="28"/>
        </w:rPr>
        <w:lastRenderedPageBreak/>
        <w:t>and clinical characteristics of the participants were collected during the baseline assessment and are summarized below.</w:t>
      </w:r>
    </w:p>
    <w:p w:rsidR="0021583F" w:rsidRPr="00194EEF" w:rsidRDefault="0021583F" w:rsidP="00194EEF">
      <w:pPr>
        <w:pStyle w:val="4"/>
        <w:spacing w:line="360" w:lineRule="auto"/>
        <w:jc w:val="both"/>
        <w:rPr>
          <w:rFonts w:ascii="Times New Roman" w:hAnsi="Times New Roman" w:cs="Times New Roman"/>
          <w:sz w:val="28"/>
          <w:szCs w:val="28"/>
        </w:rPr>
      </w:pPr>
      <w:r w:rsidRPr="00194EEF">
        <w:rPr>
          <w:rStyle w:val="fadeinpfttw8"/>
          <w:rFonts w:ascii="Times New Roman" w:hAnsi="Times New Roman" w:cs="Times New Roman"/>
          <w:sz w:val="28"/>
          <w:szCs w:val="28"/>
        </w:rPr>
        <w:t>Gender Distribution</w:t>
      </w:r>
    </w:p>
    <w:p w:rsidR="0021583F" w:rsidRPr="00194EEF" w:rsidRDefault="0021583F" w:rsidP="00194EEF">
      <w:pPr>
        <w:pStyle w:val="a4"/>
        <w:spacing w:line="360" w:lineRule="auto"/>
        <w:jc w:val="both"/>
        <w:rPr>
          <w:sz w:val="28"/>
          <w:szCs w:val="28"/>
        </w:rPr>
      </w:pPr>
      <w:r w:rsidRPr="00194EEF">
        <w:rPr>
          <w:rStyle w:val="fadeinpfttw8"/>
          <w:sz w:val="28"/>
          <w:szCs w:val="28"/>
        </w:rPr>
        <w:t>Of the 85 patients enrolled in the study:</w:t>
      </w:r>
    </w:p>
    <w:p w:rsidR="0021583F" w:rsidRPr="00194EEF" w:rsidRDefault="0021583F" w:rsidP="0017650E">
      <w:pPr>
        <w:pStyle w:val="a4"/>
        <w:numPr>
          <w:ilvl w:val="0"/>
          <w:numId w:val="7"/>
        </w:numPr>
        <w:spacing w:line="360" w:lineRule="auto"/>
        <w:jc w:val="both"/>
        <w:rPr>
          <w:sz w:val="28"/>
          <w:szCs w:val="28"/>
        </w:rPr>
      </w:pPr>
      <w:r w:rsidRPr="00194EEF">
        <w:rPr>
          <w:rStyle w:val="fadeinpfttw8"/>
          <w:b/>
          <w:bCs/>
          <w:sz w:val="28"/>
          <w:szCs w:val="28"/>
        </w:rPr>
        <w:t>52 (61.2%) were female</w:t>
      </w:r>
    </w:p>
    <w:p w:rsidR="0021583F" w:rsidRPr="00194EEF" w:rsidRDefault="0021583F" w:rsidP="0017650E">
      <w:pPr>
        <w:pStyle w:val="a4"/>
        <w:numPr>
          <w:ilvl w:val="0"/>
          <w:numId w:val="7"/>
        </w:numPr>
        <w:spacing w:line="360" w:lineRule="auto"/>
        <w:jc w:val="both"/>
        <w:rPr>
          <w:sz w:val="28"/>
          <w:szCs w:val="28"/>
        </w:rPr>
      </w:pPr>
      <w:r w:rsidRPr="00194EEF">
        <w:rPr>
          <w:rStyle w:val="fadeinpfttw8"/>
          <w:b/>
          <w:bCs/>
          <w:sz w:val="28"/>
          <w:szCs w:val="28"/>
        </w:rPr>
        <w:t>33 (38.8%) were male</w:t>
      </w:r>
    </w:p>
    <w:p w:rsidR="0021583F" w:rsidRPr="00194EEF" w:rsidRDefault="0021583F" w:rsidP="00194EEF">
      <w:pPr>
        <w:pStyle w:val="a4"/>
        <w:spacing w:line="360" w:lineRule="auto"/>
        <w:jc w:val="both"/>
        <w:rPr>
          <w:sz w:val="28"/>
          <w:szCs w:val="28"/>
        </w:rPr>
      </w:pPr>
      <w:r w:rsidRPr="00194EEF">
        <w:rPr>
          <w:rStyle w:val="fadeinpfttw8"/>
          <w:sz w:val="28"/>
          <w:szCs w:val="28"/>
        </w:rPr>
        <w:t>This distribution is consistent with epidemiological trends in IBD, particularly Crohn’s disease, where a slight female predominance has been observed in adult populations [55]. Ulcerative colitis typically exhibits a more balanced sex ratio, though regional and demographic variations exist.</w:t>
      </w:r>
    </w:p>
    <w:p w:rsidR="0021583F" w:rsidRPr="00194EEF" w:rsidRDefault="0021583F" w:rsidP="00194EEF">
      <w:pPr>
        <w:pStyle w:val="4"/>
        <w:spacing w:line="360" w:lineRule="auto"/>
        <w:jc w:val="both"/>
        <w:rPr>
          <w:rFonts w:ascii="Times New Roman" w:hAnsi="Times New Roman" w:cs="Times New Roman"/>
          <w:sz w:val="28"/>
          <w:szCs w:val="28"/>
        </w:rPr>
      </w:pPr>
      <w:r w:rsidRPr="00194EEF">
        <w:rPr>
          <w:rStyle w:val="fadeinpfttw8"/>
          <w:rFonts w:ascii="Times New Roman" w:hAnsi="Times New Roman" w:cs="Times New Roman"/>
          <w:sz w:val="28"/>
          <w:szCs w:val="28"/>
        </w:rPr>
        <w:t>Age Distribution</w:t>
      </w:r>
    </w:p>
    <w:p w:rsidR="0021583F" w:rsidRPr="00194EEF" w:rsidRDefault="0021583F" w:rsidP="00194EEF">
      <w:pPr>
        <w:pStyle w:val="a4"/>
        <w:spacing w:line="360" w:lineRule="auto"/>
        <w:jc w:val="both"/>
        <w:rPr>
          <w:sz w:val="28"/>
          <w:szCs w:val="28"/>
        </w:rPr>
      </w:pPr>
      <w:r w:rsidRPr="00194EEF">
        <w:rPr>
          <w:rStyle w:val="fadeinpfttw8"/>
          <w:sz w:val="28"/>
          <w:szCs w:val="28"/>
        </w:rPr>
        <w:t xml:space="preserve">The </w:t>
      </w:r>
      <w:r w:rsidRPr="00194EEF">
        <w:rPr>
          <w:rStyle w:val="fadeinpfttw8"/>
          <w:b/>
          <w:bCs/>
          <w:sz w:val="28"/>
          <w:szCs w:val="28"/>
        </w:rPr>
        <w:t>mean age</w:t>
      </w:r>
      <w:r w:rsidRPr="00194EEF">
        <w:rPr>
          <w:rStyle w:val="fadeinpfttw8"/>
          <w:sz w:val="28"/>
          <w:szCs w:val="28"/>
        </w:rPr>
        <w:t xml:space="preserve"> of participants was 36.4 years (SD = 11.3), with ages ranging from 18 to 62 years. The majority of patients (72%) were between </w:t>
      </w:r>
      <w:r w:rsidRPr="00194EEF">
        <w:rPr>
          <w:rStyle w:val="fadeinpfttw8"/>
          <w:b/>
          <w:bCs/>
          <w:sz w:val="28"/>
          <w:szCs w:val="28"/>
        </w:rPr>
        <w:t>25 and 44 years old</w:t>
      </w:r>
      <w:r w:rsidRPr="00194EEF">
        <w:rPr>
          <w:rStyle w:val="fadeinpfttw8"/>
          <w:sz w:val="28"/>
          <w:szCs w:val="28"/>
        </w:rPr>
        <w:t>, which aligns with the peak incidence period of IBD in young to middle adulthood [56].</w:t>
      </w:r>
    </w:p>
    <w:p w:rsidR="0021583F" w:rsidRPr="00194EEF" w:rsidRDefault="0021583F" w:rsidP="00194EEF">
      <w:pPr>
        <w:pStyle w:val="a4"/>
        <w:spacing w:line="360" w:lineRule="auto"/>
        <w:jc w:val="both"/>
        <w:rPr>
          <w:sz w:val="28"/>
          <w:szCs w:val="28"/>
        </w:rPr>
      </w:pPr>
      <w:r w:rsidRPr="00194EEF">
        <w:rPr>
          <w:rStyle w:val="fadeinpfttw8"/>
          <w:sz w:val="28"/>
          <w:szCs w:val="28"/>
        </w:rPr>
        <w:t>The age breakdown is as follows:</w:t>
      </w:r>
    </w:p>
    <w:tbl>
      <w:tblPr>
        <w:tblW w:w="1020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43"/>
        <w:gridCol w:w="4111"/>
        <w:gridCol w:w="4252"/>
      </w:tblGrid>
      <w:tr w:rsidR="00194EEF" w:rsidRPr="00194EEF" w:rsidTr="00194EEF">
        <w:trPr>
          <w:tblHeader/>
          <w:tblCellSpacing w:w="15" w:type="dxa"/>
        </w:trPr>
        <w:tc>
          <w:tcPr>
            <w:tcW w:w="1798" w:type="dxa"/>
            <w:vAlign w:val="center"/>
            <w:hideMark/>
          </w:tcPr>
          <w:p w:rsidR="0021583F" w:rsidRPr="00194EEF" w:rsidRDefault="0021583F" w:rsidP="00194EEF">
            <w:pPr>
              <w:spacing w:line="360" w:lineRule="auto"/>
              <w:jc w:val="both"/>
              <w:rPr>
                <w:b/>
                <w:bCs/>
                <w:sz w:val="28"/>
                <w:szCs w:val="28"/>
              </w:rPr>
            </w:pPr>
            <w:r w:rsidRPr="00194EEF">
              <w:rPr>
                <w:rStyle w:val="fadeinpfttw8"/>
                <w:b/>
                <w:bCs/>
                <w:sz w:val="28"/>
                <w:szCs w:val="28"/>
              </w:rPr>
              <w:t>Age Group</w:t>
            </w:r>
          </w:p>
        </w:tc>
        <w:tc>
          <w:tcPr>
            <w:tcW w:w="4081" w:type="dxa"/>
            <w:vAlign w:val="center"/>
            <w:hideMark/>
          </w:tcPr>
          <w:p w:rsidR="0021583F" w:rsidRPr="00194EEF" w:rsidRDefault="0021583F" w:rsidP="00194EEF">
            <w:pPr>
              <w:spacing w:line="360" w:lineRule="auto"/>
              <w:jc w:val="both"/>
              <w:rPr>
                <w:b/>
                <w:bCs/>
                <w:sz w:val="28"/>
                <w:szCs w:val="28"/>
              </w:rPr>
            </w:pPr>
            <w:r w:rsidRPr="00194EEF">
              <w:rPr>
                <w:rStyle w:val="fadeinpfttw8"/>
                <w:b/>
                <w:bCs/>
                <w:sz w:val="28"/>
                <w:szCs w:val="28"/>
              </w:rPr>
              <w:t>Number of Patients</w:t>
            </w:r>
          </w:p>
        </w:tc>
        <w:tc>
          <w:tcPr>
            <w:tcW w:w="4207" w:type="dxa"/>
            <w:vAlign w:val="center"/>
            <w:hideMark/>
          </w:tcPr>
          <w:p w:rsidR="0021583F" w:rsidRPr="00194EEF" w:rsidRDefault="0021583F" w:rsidP="00194EEF">
            <w:pPr>
              <w:spacing w:line="360" w:lineRule="auto"/>
              <w:jc w:val="both"/>
              <w:rPr>
                <w:b/>
                <w:bCs/>
                <w:sz w:val="28"/>
                <w:szCs w:val="28"/>
              </w:rPr>
            </w:pPr>
            <w:r w:rsidRPr="00194EEF">
              <w:rPr>
                <w:rStyle w:val="fadeinpfttw8"/>
                <w:b/>
                <w:bCs/>
                <w:sz w:val="28"/>
                <w:szCs w:val="28"/>
              </w:rPr>
              <w:t>Percentage</w:t>
            </w:r>
          </w:p>
        </w:tc>
      </w:tr>
      <w:tr w:rsidR="00194EEF" w:rsidRPr="00194EEF" w:rsidTr="00194EEF">
        <w:trPr>
          <w:tblCellSpacing w:w="15" w:type="dxa"/>
        </w:trPr>
        <w:tc>
          <w:tcPr>
            <w:tcW w:w="1798"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18–24</w:t>
            </w:r>
          </w:p>
        </w:tc>
        <w:tc>
          <w:tcPr>
            <w:tcW w:w="4081"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10</w:t>
            </w:r>
          </w:p>
        </w:tc>
        <w:tc>
          <w:tcPr>
            <w:tcW w:w="4207"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11.8%</w:t>
            </w:r>
          </w:p>
        </w:tc>
      </w:tr>
      <w:tr w:rsidR="00194EEF" w:rsidRPr="00194EEF" w:rsidTr="00194EEF">
        <w:trPr>
          <w:tblCellSpacing w:w="15" w:type="dxa"/>
        </w:trPr>
        <w:tc>
          <w:tcPr>
            <w:tcW w:w="1798"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25–34</w:t>
            </w:r>
          </w:p>
        </w:tc>
        <w:tc>
          <w:tcPr>
            <w:tcW w:w="4081"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28</w:t>
            </w:r>
          </w:p>
        </w:tc>
        <w:tc>
          <w:tcPr>
            <w:tcW w:w="4207"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32.9%</w:t>
            </w:r>
          </w:p>
        </w:tc>
      </w:tr>
      <w:tr w:rsidR="00194EEF" w:rsidRPr="00194EEF" w:rsidTr="00194EEF">
        <w:trPr>
          <w:tblCellSpacing w:w="15" w:type="dxa"/>
        </w:trPr>
        <w:tc>
          <w:tcPr>
            <w:tcW w:w="1798"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35–44</w:t>
            </w:r>
          </w:p>
        </w:tc>
        <w:tc>
          <w:tcPr>
            <w:tcW w:w="4081"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23</w:t>
            </w:r>
          </w:p>
        </w:tc>
        <w:tc>
          <w:tcPr>
            <w:tcW w:w="4207"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27.1%</w:t>
            </w:r>
          </w:p>
        </w:tc>
      </w:tr>
      <w:tr w:rsidR="00194EEF" w:rsidRPr="00194EEF" w:rsidTr="00194EEF">
        <w:trPr>
          <w:tblCellSpacing w:w="15" w:type="dxa"/>
        </w:trPr>
        <w:tc>
          <w:tcPr>
            <w:tcW w:w="1798"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45–54</w:t>
            </w:r>
          </w:p>
        </w:tc>
        <w:tc>
          <w:tcPr>
            <w:tcW w:w="4081"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16</w:t>
            </w:r>
          </w:p>
        </w:tc>
        <w:tc>
          <w:tcPr>
            <w:tcW w:w="4207"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18.8%</w:t>
            </w:r>
          </w:p>
        </w:tc>
      </w:tr>
      <w:tr w:rsidR="00194EEF" w:rsidRPr="00194EEF" w:rsidTr="00194EEF">
        <w:trPr>
          <w:tblCellSpacing w:w="15" w:type="dxa"/>
        </w:trPr>
        <w:tc>
          <w:tcPr>
            <w:tcW w:w="1798"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55–62</w:t>
            </w:r>
          </w:p>
        </w:tc>
        <w:tc>
          <w:tcPr>
            <w:tcW w:w="4081"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8</w:t>
            </w:r>
          </w:p>
        </w:tc>
        <w:tc>
          <w:tcPr>
            <w:tcW w:w="4207" w:type="dxa"/>
            <w:vAlign w:val="center"/>
            <w:hideMark/>
          </w:tcPr>
          <w:p w:rsidR="0021583F" w:rsidRPr="00194EEF" w:rsidRDefault="0021583F" w:rsidP="00194EEF">
            <w:pPr>
              <w:spacing w:line="360" w:lineRule="auto"/>
              <w:jc w:val="both"/>
              <w:rPr>
                <w:sz w:val="28"/>
                <w:szCs w:val="28"/>
              </w:rPr>
            </w:pPr>
            <w:r w:rsidRPr="00194EEF">
              <w:rPr>
                <w:rStyle w:val="fadeinpfttw8"/>
                <w:sz w:val="28"/>
                <w:szCs w:val="28"/>
              </w:rPr>
              <w:t>9.4%</w:t>
            </w:r>
          </w:p>
        </w:tc>
      </w:tr>
    </w:tbl>
    <w:p w:rsidR="0021583F" w:rsidRPr="00194EEF" w:rsidRDefault="0021583F" w:rsidP="00194EEF">
      <w:pPr>
        <w:pStyle w:val="4"/>
        <w:spacing w:line="360" w:lineRule="auto"/>
        <w:jc w:val="both"/>
        <w:rPr>
          <w:rFonts w:ascii="Times New Roman" w:hAnsi="Times New Roman" w:cs="Times New Roman"/>
          <w:sz w:val="28"/>
          <w:szCs w:val="28"/>
        </w:rPr>
      </w:pPr>
      <w:r w:rsidRPr="00194EEF">
        <w:rPr>
          <w:rStyle w:val="fadeinpfttw8"/>
          <w:rFonts w:ascii="Times New Roman" w:hAnsi="Times New Roman" w:cs="Times New Roman"/>
          <w:sz w:val="28"/>
          <w:szCs w:val="28"/>
        </w:rPr>
        <w:t>Diagnosis and Disease Duration</w:t>
      </w:r>
    </w:p>
    <w:p w:rsidR="0021583F" w:rsidRPr="00194EEF" w:rsidRDefault="0021583F" w:rsidP="00194EEF">
      <w:pPr>
        <w:pStyle w:val="a4"/>
        <w:spacing w:line="360" w:lineRule="auto"/>
        <w:jc w:val="both"/>
        <w:rPr>
          <w:sz w:val="28"/>
          <w:szCs w:val="28"/>
        </w:rPr>
      </w:pPr>
      <w:r w:rsidRPr="00194EEF">
        <w:rPr>
          <w:rStyle w:val="fadeinpfttw8"/>
          <w:sz w:val="28"/>
          <w:szCs w:val="28"/>
        </w:rPr>
        <w:t>Among the study population:</w:t>
      </w:r>
    </w:p>
    <w:p w:rsidR="0021583F" w:rsidRPr="00194EEF" w:rsidRDefault="0021583F" w:rsidP="0017650E">
      <w:pPr>
        <w:pStyle w:val="a4"/>
        <w:numPr>
          <w:ilvl w:val="0"/>
          <w:numId w:val="8"/>
        </w:numPr>
        <w:spacing w:line="360" w:lineRule="auto"/>
        <w:jc w:val="both"/>
        <w:rPr>
          <w:sz w:val="28"/>
          <w:szCs w:val="28"/>
        </w:rPr>
      </w:pPr>
      <w:r w:rsidRPr="00194EEF">
        <w:rPr>
          <w:rStyle w:val="fadeinpfttw8"/>
          <w:b/>
          <w:bCs/>
          <w:sz w:val="28"/>
          <w:szCs w:val="28"/>
        </w:rPr>
        <w:lastRenderedPageBreak/>
        <w:t>47 patients (55.3%)</w:t>
      </w:r>
      <w:r w:rsidRPr="00194EEF">
        <w:rPr>
          <w:rStyle w:val="fadeinpfttw8"/>
          <w:sz w:val="28"/>
          <w:szCs w:val="28"/>
        </w:rPr>
        <w:t xml:space="preserve"> had a diagnosis of </w:t>
      </w:r>
      <w:r w:rsidRPr="00194EEF">
        <w:rPr>
          <w:rStyle w:val="fadeinpfttw8"/>
          <w:b/>
          <w:bCs/>
          <w:sz w:val="28"/>
          <w:szCs w:val="28"/>
        </w:rPr>
        <w:t>ulcerative colitis</w:t>
      </w:r>
    </w:p>
    <w:p w:rsidR="0021583F" w:rsidRPr="00194EEF" w:rsidRDefault="0021583F" w:rsidP="0017650E">
      <w:pPr>
        <w:pStyle w:val="a4"/>
        <w:numPr>
          <w:ilvl w:val="0"/>
          <w:numId w:val="8"/>
        </w:numPr>
        <w:spacing w:line="360" w:lineRule="auto"/>
        <w:jc w:val="both"/>
        <w:rPr>
          <w:sz w:val="28"/>
          <w:szCs w:val="28"/>
        </w:rPr>
      </w:pPr>
      <w:r w:rsidRPr="00194EEF">
        <w:rPr>
          <w:rStyle w:val="fadeinpfttw8"/>
          <w:b/>
          <w:bCs/>
          <w:sz w:val="28"/>
          <w:szCs w:val="28"/>
        </w:rPr>
        <w:t>38 patients (44.7%)</w:t>
      </w:r>
      <w:r w:rsidRPr="00194EEF">
        <w:rPr>
          <w:rStyle w:val="fadeinpfttw8"/>
          <w:sz w:val="28"/>
          <w:szCs w:val="28"/>
        </w:rPr>
        <w:t xml:space="preserve"> had </w:t>
      </w:r>
      <w:r w:rsidRPr="00194EEF">
        <w:rPr>
          <w:rStyle w:val="fadeinpfttw8"/>
          <w:b/>
          <w:bCs/>
          <w:sz w:val="28"/>
          <w:szCs w:val="28"/>
        </w:rPr>
        <w:t>Crohn’s disease</w:t>
      </w:r>
    </w:p>
    <w:p w:rsidR="0021583F" w:rsidRPr="00194EEF" w:rsidRDefault="0021583F" w:rsidP="00194EEF">
      <w:pPr>
        <w:pStyle w:val="a4"/>
        <w:spacing w:line="360" w:lineRule="auto"/>
        <w:jc w:val="both"/>
        <w:rPr>
          <w:sz w:val="28"/>
          <w:szCs w:val="28"/>
        </w:rPr>
      </w:pPr>
      <w:r w:rsidRPr="00194EEF">
        <w:rPr>
          <w:rStyle w:val="fadeinpfttw8"/>
          <w:sz w:val="28"/>
          <w:szCs w:val="28"/>
        </w:rPr>
        <w:t xml:space="preserve">The </w:t>
      </w:r>
      <w:r w:rsidRPr="00194EEF">
        <w:rPr>
          <w:rStyle w:val="fadeinpfttw8"/>
          <w:b/>
          <w:bCs/>
          <w:sz w:val="28"/>
          <w:szCs w:val="28"/>
        </w:rPr>
        <w:t>mean duration of disease</w:t>
      </w:r>
      <w:r w:rsidRPr="00194EEF">
        <w:rPr>
          <w:rStyle w:val="fadeinpfttw8"/>
          <w:sz w:val="28"/>
          <w:szCs w:val="28"/>
        </w:rPr>
        <w:t xml:space="preserve"> was 5.6 years (range: 0.6 to 17 years). A majority of participants (61%) had been diagnosed within the past 5 years, while the remaining 39% had a longer history of IBD.</w:t>
      </w:r>
    </w:p>
    <w:p w:rsidR="0021583F" w:rsidRPr="00194EEF" w:rsidRDefault="0021583F" w:rsidP="00194EEF">
      <w:pPr>
        <w:pStyle w:val="4"/>
        <w:spacing w:line="360" w:lineRule="auto"/>
        <w:jc w:val="both"/>
        <w:rPr>
          <w:rFonts w:ascii="Times New Roman" w:hAnsi="Times New Roman" w:cs="Times New Roman"/>
          <w:sz w:val="28"/>
          <w:szCs w:val="28"/>
        </w:rPr>
      </w:pPr>
      <w:r w:rsidRPr="00194EEF">
        <w:rPr>
          <w:rStyle w:val="fadeinpfttw8"/>
          <w:rFonts w:ascii="Times New Roman" w:hAnsi="Times New Roman" w:cs="Times New Roman"/>
          <w:sz w:val="28"/>
          <w:szCs w:val="28"/>
        </w:rPr>
        <w:t>Educational and Employment Status</w:t>
      </w:r>
    </w:p>
    <w:p w:rsidR="0021583F" w:rsidRPr="00194EEF" w:rsidRDefault="0021583F" w:rsidP="00194EEF">
      <w:pPr>
        <w:pStyle w:val="a4"/>
        <w:spacing w:line="360" w:lineRule="auto"/>
        <w:jc w:val="both"/>
        <w:rPr>
          <w:sz w:val="28"/>
          <w:szCs w:val="28"/>
        </w:rPr>
      </w:pPr>
      <w:r w:rsidRPr="00194EEF">
        <w:rPr>
          <w:rStyle w:val="fadeinpfttw8"/>
          <w:sz w:val="28"/>
          <w:szCs w:val="28"/>
        </w:rPr>
        <w:t>In terms of education:</w:t>
      </w:r>
    </w:p>
    <w:p w:rsidR="0021583F" w:rsidRPr="00194EEF" w:rsidRDefault="0021583F" w:rsidP="0017650E">
      <w:pPr>
        <w:pStyle w:val="a4"/>
        <w:numPr>
          <w:ilvl w:val="0"/>
          <w:numId w:val="9"/>
        </w:numPr>
        <w:spacing w:line="360" w:lineRule="auto"/>
        <w:jc w:val="both"/>
        <w:rPr>
          <w:sz w:val="28"/>
          <w:szCs w:val="28"/>
        </w:rPr>
      </w:pPr>
      <w:r w:rsidRPr="00194EEF">
        <w:rPr>
          <w:rStyle w:val="fadeinpfttw8"/>
          <w:b/>
          <w:bCs/>
          <w:sz w:val="28"/>
          <w:szCs w:val="28"/>
        </w:rPr>
        <w:t>23 patients (27%)</w:t>
      </w:r>
      <w:r w:rsidRPr="00194EEF">
        <w:rPr>
          <w:rStyle w:val="fadeinpfttw8"/>
          <w:sz w:val="28"/>
          <w:szCs w:val="28"/>
        </w:rPr>
        <w:t xml:space="preserve"> had completed secondary education</w:t>
      </w:r>
    </w:p>
    <w:p w:rsidR="0021583F" w:rsidRPr="00194EEF" w:rsidRDefault="0021583F" w:rsidP="0017650E">
      <w:pPr>
        <w:pStyle w:val="a4"/>
        <w:numPr>
          <w:ilvl w:val="0"/>
          <w:numId w:val="9"/>
        </w:numPr>
        <w:spacing w:line="360" w:lineRule="auto"/>
        <w:jc w:val="both"/>
        <w:rPr>
          <w:sz w:val="28"/>
          <w:szCs w:val="28"/>
        </w:rPr>
      </w:pPr>
      <w:r w:rsidRPr="00194EEF">
        <w:rPr>
          <w:rStyle w:val="fadeinpfttw8"/>
          <w:b/>
          <w:bCs/>
          <w:sz w:val="28"/>
          <w:szCs w:val="28"/>
        </w:rPr>
        <w:t>42 (49%)</w:t>
      </w:r>
      <w:r w:rsidRPr="00194EEF">
        <w:rPr>
          <w:rStyle w:val="fadeinpfttw8"/>
          <w:sz w:val="28"/>
          <w:szCs w:val="28"/>
        </w:rPr>
        <w:t xml:space="preserve"> had attained a college degree or vocational training</w:t>
      </w:r>
    </w:p>
    <w:p w:rsidR="0021583F" w:rsidRPr="00194EEF" w:rsidRDefault="0021583F" w:rsidP="0017650E">
      <w:pPr>
        <w:pStyle w:val="a4"/>
        <w:numPr>
          <w:ilvl w:val="0"/>
          <w:numId w:val="9"/>
        </w:numPr>
        <w:spacing w:line="360" w:lineRule="auto"/>
        <w:jc w:val="both"/>
        <w:rPr>
          <w:sz w:val="28"/>
          <w:szCs w:val="28"/>
        </w:rPr>
      </w:pPr>
      <w:r w:rsidRPr="00194EEF">
        <w:rPr>
          <w:rStyle w:val="fadeinpfttw8"/>
          <w:b/>
          <w:bCs/>
          <w:sz w:val="28"/>
          <w:szCs w:val="28"/>
        </w:rPr>
        <w:t>20 (24%)</w:t>
      </w:r>
      <w:r w:rsidRPr="00194EEF">
        <w:rPr>
          <w:rStyle w:val="fadeinpfttw8"/>
          <w:sz w:val="28"/>
          <w:szCs w:val="28"/>
        </w:rPr>
        <w:t xml:space="preserve"> held a university degree</w:t>
      </w:r>
    </w:p>
    <w:p w:rsidR="0021583F" w:rsidRPr="00194EEF" w:rsidRDefault="0021583F" w:rsidP="00194EEF">
      <w:pPr>
        <w:pStyle w:val="a4"/>
        <w:spacing w:line="360" w:lineRule="auto"/>
        <w:jc w:val="both"/>
        <w:rPr>
          <w:sz w:val="28"/>
          <w:szCs w:val="28"/>
        </w:rPr>
      </w:pPr>
      <w:r w:rsidRPr="00194EEF">
        <w:rPr>
          <w:rStyle w:val="fadeinpfttw8"/>
          <w:sz w:val="28"/>
          <w:szCs w:val="28"/>
        </w:rPr>
        <w:t>Employment status was also recorded:</w:t>
      </w:r>
    </w:p>
    <w:p w:rsidR="0021583F" w:rsidRPr="00194EEF" w:rsidRDefault="0021583F" w:rsidP="0017650E">
      <w:pPr>
        <w:pStyle w:val="a4"/>
        <w:numPr>
          <w:ilvl w:val="0"/>
          <w:numId w:val="10"/>
        </w:numPr>
        <w:spacing w:line="360" w:lineRule="auto"/>
        <w:jc w:val="both"/>
        <w:rPr>
          <w:sz w:val="28"/>
          <w:szCs w:val="28"/>
        </w:rPr>
      </w:pPr>
      <w:r w:rsidRPr="00194EEF">
        <w:rPr>
          <w:rStyle w:val="fadeinpfttw8"/>
          <w:b/>
          <w:bCs/>
          <w:sz w:val="28"/>
          <w:szCs w:val="28"/>
        </w:rPr>
        <w:t>44 patients (52%)</w:t>
      </w:r>
      <w:r w:rsidRPr="00194EEF">
        <w:rPr>
          <w:rStyle w:val="fadeinpfttw8"/>
          <w:sz w:val="28"/>
          <w:szCs w:val="28"/>
        </w:rPr>
        <w:t xml:space="preserve"> were employed full-time or part-time</w:t>
      </w:r>
    </w:p>
    <w:p w:rsidR="0021583F" w:rsidRPr="00194EEF" w:rsidRDefault="0021583F" w:rsidP="0017650E">
      <w:pPr>
        <w:pStyle w:val="a4"/>
        <w:numPr>
          <w:ilvl w:val="0"/>
          <w:numId w:val="10"/>
        </w:numPr>
        <w:spacing w:line="360" w:lineRule="auto"/>
        <w:jc w:val="both"/>
        <w:rPr>
          <w:sz w:val="28"/>
          <w:szCs w:val="28"/>
        </w:rPr>
      </w:pPr>
      <w:r w:rsidRPr="00194EEF">
        <w:rPr>
          <w:rStyle w:val="fadeinpfttw8"/>
          <w:b/>
          <w:bCs/>
          <w:sz w:val="28"/>
          <w:szCs w:val="28"/>
        </w:rPr>
        <w:t>19 (22%)</w:t>
      </w:r>
      <w:r w:rsidRPr="00194EEF">
        <w:rPr>
          <w:rStyle w:val="fadeinpfttw8"/>
          <w:sz w:val="28"/>
          <w:szCs w:val="28"/>
        </w:rPr>
        <w:t xml:space="preserve"> were students</w:t>
      </w:r>
    </w:p>
    <w:p w:rsidR="0021583F" w:rsidRPr="00194EEF" w:rsidRDefault="0021583F" w:rsidP="0017650E">
      <w:pPr>
        <w:pStyle w:val="a4"/>
        <w:numPr>
          <w:ilvl w:val="0"/>
          <w:numId w:val="10"/>
        </w:numPr>
        <w:spacing w:line="360" w:lineRule="auto"/>
        <w:jc w:val="both"/>
        <w:rPr>
          <w:sz w:val="28"/>
          <w:szCs w:val="28"/>
        </w:rPr>
      </w:pPr>
      <w:r w:rsidRPr="00194EEF">
        <w:rPr>
          <w:rStyle w:val="fadeinpfttw8"/>
          <w:b/>
          <w:bCs/>
          <w:sz w:val="28"/>
          <w:szCs w:val="28"/>
        </w:rPr>
        <w:t>10 (12%)</w:t>
      </w:r>
      <w:r w:rsidRPr="00194EEF">
        <w:rPr>
          <w:rStyle w:val="fadeinpfttw8"/>
          <w:sz w:val="28"/>
          <w:szCs w:val="28"/>
        </w:rPr>
        <w:t xml:space="preserve"> were unemployed</w:t>
      </w:r>
    </w:p>
    <w:p w:rsidR="0021583F" w:rsidRPr="00194EEF" w:rsidRDefault="0021583F" w:rsidP="0017650E">
      <w:pPr>
        <w:pStyle w:val="a4"/>
        <w:numPr>
          <w:ilvl w:val="0"/>
          <w:numId w:val="10"/>
        </w:numPr>
        <w:spacing w:line="360" w:lineRule="auto"/>
        <w:jc w:val="both"/>
        <w:rPr>
          <w:sz w:val="28"/>
          <w:szCs w:val="28"/>
        </w:rPr>
      </w:pPr>
      <w:r w:rsidRPr="00194EEF">
        <w:rPr>
          <w:rStyle w:val="fadeinpfttw8"/>
          <w:b/>
          <w:bCs/>
          <w:sz w:val="28"/>
          <w:szCs w:val="28"/>
        </w:rPr>
        <w:t>12 (14%)</w:t>
      </w:r>
      <w:r w:rsidRPr="00194EEF">
        <w:rPr>
          <w:rStyle w:val="fadeinpfttw8"/>
          <w:sz w:val="28"/>
          <w:szCs w:val="28"/>
        </w:rPr>
        <w:t xml:space="preserve"> were on medical or disability leave</w:t>
      </w:r>
    </w:p>
    <w:p w:rsidR="0021583F" w:rsidRPr="00194EEF" w:rsidRDefault="0021583F" w:rsidP="00194EEF">
      <w:pPr>
        <w:pStyle w:val="a4"/>
        <w:spacing w:line="360" w:lineRule="auto"/>
        <w:jc w:val="both"/>
        <w:rPr>
          <w:sz w:val="28"/>
          <w:szCs w:val="28"/>
        </w:rPr>
      </w:pPr>
      <w:r w:rsidRPr="00194EEF">
        <w:rPr>
          <w:rStyle w:val="fadeinpfttw8"/>
          <w:sz w:val="28"/>
          <w:szCs w:val="28"/>
        </w:rPr>
        <w:t>These socioeconomic variables are relevant for interpreting treatment adherence patterns and health literacy, as discussed in later sections.</w:t>
      </w:r>
    </w:p>
    <w:p w:rsidR="0021583F" w:rsidRPr="00194EEF" w:rsidRDefault="0021583F" w:rsidP="00194EEF">
      <w:pPr>
        <w:pStyle w:val="4"/>
        <w:spacing w:line="360" w:lineRule="auto"/>
        <w:jc w:val="both"/>
        <w:rPr>
          <w:rFonts w:ascii="Times New Roman" w:hAnsi="Times New Roman" w:cs="Times New Roman"/>
          <w:sz w:val="28"/>
          <w:szCs w:val="28"/>
        </w:rPr>
      </w:pPr>
      <w:r w:rsidRPr="00194EEF">
        <w:rPr>
          <w:rStyle w:val="fadeinpfttw8"/>
          <w:rFonts w:ascii="Times New Roman" w:hAnsi="Times New Roman" w:cs="Times New Roman"/>
          <w:sz w:val="28"/>
          <w:szCs w:val="28"/>
        </w:rPr>
        <w:t>Visualization of Demographics</w:t>
      </w:r>
    </w:p>
    <w:p w:rsidR="0021583F" w:rsidRPr="00194EEF" w:rsidRDefault="0021583F" w:rsidP="00194EEF">
      <w:pPr>
        <w:pStyle w:val="a4"/>
        <w:spacing w:line="360" w:lineRule="auto"/>
        <w:jc w:val="both"/>
        <w:rPr>
          <w:sz w:val="28"/>
          <w:szCs w:val="28"/>
        </w:rPr>
      </w:pPr>
      <w:r w:rsidRPr="00194EEF">
        <w:rPr>
          <w:rStyle w:val="fadeinpfttw8"/>
          <w:sz w:val="28"/>
          <w:szCs w:val="28"/>
        </w:rPr>
        <w:t>To better illustrate the key demographic patterns, two diagrams were constructed:</w:t>
      </w:r>
    </w:p>
    <w:p w:rsidR="0021583F" w:rsidRPr="00194EEF" w:rsidRDefault="0021583F" w:rsidP="0017650E">
      <w:pPr>
        <w:pStyle w:val="a4"/>
        <w:numPr>
          <w:ilvl w:val="0"/>
          <w:numId w:val="11"/>
        </w:numPr>
        <w:spacing w:line="360" w:lineRule="auto"/>
        <w:jc w:val="both"/>
        <w:rPr>
          <w:sz w:val="28"/>
          <w:szCs w:val="28"/>
        </w:rPr>
      </w:pPr>
      <w:r w:rsidRPr="00194EEF">
        <w:rPr>
          <w:rStyle w:val="fadeinpfttw8"/>
          <w:sz w:val="28"/>
          <w:szCs w:val="28"/>
        </w:rPr>
        <w:t xml:space="preserve">A </w:t>
      </w:r>
      <w:r w:rsidRPr="00194EEF">
        <w:rPr>
          <w:rStyle w:val="fadeinpfttw8"/>
          <w:b/>
          <w:bCs/>
          <w:sz w:val="28"/>
          <w:szCs w:val="28"/>
        </w:rPr>
        <w:t>pie chart</w:t>
      </w:r>
      <w:r w:rsidRPr="00194EEF">
        <w:rPr>
          <w:rStyle w:val="fadeinpfttw8"/>
          <w:sz w:val="28"/>
          <w:szCs w:val="28"/>
        </w:rPr>
        <w:t xml:space="preserve"> of gender distribution showing a higher proportion of female patients (61.2%).</w:t>
      </w:r>
    </w:p>
    <w:p w:rsidR="0021583F" w:rsidRPr="00194EEF" w:rsidRDefault="0021583F" w:rsidP="0017650E">
      <w:pPr>
        <w:pStyle w:val="a4"/>
        <w:numPr>
          <w:ilvl w:val="0"/>
          <w:numId w:val="11"/>
        </w:numPr>
        <w:spacing w:line="360" w:lineRule="auto"/>
        <w:jc w:val="both"/>
        <w:rPr>
          <w:sz w:val="28"/>
          <w:szCs w:val="28"/>
        </w:rPr>
      </w:pPr>
      <w:r w:rsidRPr="00194EEF">
        <w:rPr>
          <w:rStyle w:val="fadeinpfttw8"/>
          <w:sz w:val="28"/>
          <w:szCs w:val="28"/>
        </w:rPr>
        <w:t xml:space="preserve">A </w:t>
      </w:r>
      <w:r w:rsidRPr="00194EEF">
        <w:rPr>
          <w:rStyle w:val="fadeinpfttw8"/>
          <w:b/>
          <w:bCs/>
          <w:sz w:val="28"/>
          <w:szCs w:val="28"/>
        </w:rPr>
        <w:t>bar chart</w:t>
      </w:r>
      <w:r w:rsidRPr="00194EEF">
        <w:rPr>
          <w:rStyle w:val="fadeinpfttw8"/>
          <w:sz w:val="28"/>
          <w:szCs w:val="28"/>
        </w:rPr>
        <w:t xml:space="preserve"> of age groups indicating that most patients were aged 25–44 years, consistent with typical disease onset.</w:t>
      </w:r>
    </w:p>
    <w:p w:rsidR="0021583F" w:rsidRPr="00194EEF" w:rsidRDefault="0021583F" w:rsidP="00194EEF">
      <w:pPr>
        <w:pStyle w:val="a4"/>
        <w:spacing w:line="360" w:lineRule="auto"/>
        <w:jc w:val="both"/>
        <w:rPr>
          <w:sz w:val="28"/>
          <w:szCs w:val="28"/>
        </w:rPr>
      </w:pPr>
      <w:r w:rsidRPr="00194EEF">
        <w:rPr>
          <w:rStyle w:val="fadeinpfttw8"/>
          <w:i/>
          <w:iCs/>
          <w:sz w:val="28"/>
          <w:szCs w:val="28"/>
        </w:rPr>
        <w:t>See Figure 2.1 for visual representation.</w:t>
      </w:r>
    </w:p>
    <w:p w:rsidR="00C6525B" w:rsidRPr="00194EEF" w:rsidRDefault="0021583F" w:rsidP="00194EEF">
      <w:pPr>
        <w:pStyle w:val="a4"/>
        <w:spacing w:line="360" w:lineRule="auto"/>
        <w:jc w:val="both"/>
        <w:rPr>
          <w:sz w:val="28"/>
          <w:szCs w:val="28"/>
        </w:rPr>
      </w:pPr>
      <w:r w:rsidRPr="00194EEF">
        <w:rPr>
          <w:sz w:val="28"/>
          <w:szCs w:val="28"/>
        </w:rPr>
        <w:lastRenderedPageBreak/>
        <w:fldChar w:fldCharType="begin"/>
      </w:r>
      <w:r w:rsidRPr="00194EEF">
        <w:rPr>
          <w:sz w:val="28"/>
          <w:szCs w:val="28"/>
        </w:rPr>
        <w:instrText xml:space="preserve"> INCLUDEPICTURE "https://files.oaiusercontent.com/file-Fqno91VQ1Vd6S8FLv5dL9F?se=2025-05-06T12%3A41%3A04Z&amp;sp=r&amp;sv=2024-08-04&amp;sr=b&amp;rscc=max-age%3D299%2C%20immutable%2C%20private&amp;rscd=attachment%3B%20filename%3D406e2f79-307c-4180-8fd0-5d3d52c092b0&amp;sig=%2BHmn0oXsYKcuuhG5De4INfbSG/DRGtFaJ%2BgJeqrYHYs%3D" \* MERGEFORMATINET </w:instrText>
      </w:r>
      <w:r w:rsidRPr="00194EEF">
        <w:rPr>
          <w:sz w:val="28"/>
          <w:szCs w:val="28"/>
        </w:rPr>
        <w:fldChar w:fldCharType="separate"/>
      </w:r>
      <w:r w:rsidRPr="00194EEF">
        <w:rPr>
          <w:noProof/>
          <w:sz w:val="28"/>
          <w:szCs w:val="28"/>
          <w:lang w:val="uk-UA" w:eastAsia="uk-UA"/>
        </w:rPr>
        <w:drawing>
          <wp:inline distT="0" distB="0" distL="0" distR="0">
            <wp:extent cx="6480175" cy="3029585"/>
            <wp:effectExtent l="0" t="0" r="0" b="5715"/>
            <wp:docPr id="1182945267" name="Рисунок 4"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Вивести зображення"/>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480175" cy="3029585"/>
                    </a:xfrm>
                    <a:prstGeom prst="rect">
                      <a:avLst/>
                    </a:prstGeom>
                    <a:noFill/>
                    <a:ln>
                      <a:noFill/>
                    </a:ln>
                  </pic:spPr>
                </pic:pic>
              </a:graphicData>
            </a:graphic>
          </wp:inline>
        </w:drawing>
      </w:r>
      <w:r w:rsidRPr="00194EEF">
        <w:rPr>
          <w:sz w:val="28"/>
          <w:szCs w:val="28"/>
        </w:rPr>
        <w:fldChar w:fldCharType="end"/>
      </w:r>
    </w:p>
    <w:p w:rsidR="00A308CC" w:rsidRPr="00A308CC" w:rsidRDefault="00A308CC" w:rsidP="00A308CC">
      <w:pPr>
        <w:pStyle w:val="3"/>
        <w:spacing w:line="360" w:lineRule="auto"/>
        <w:jc w:val="both"/>
        <w:rPr>
          <w:sz w:val="28"/>
          <w:szCs w:val="28"/>
        </w:rPr>
      </w:pPr>
      <w:r w:rsidRPr="00A308CC">
        <w:rPr>
          <w:rStyle w:val="fadeinpfttw8"/>
          <w:sz w:val="28"/>
          <w:szCs w:val="28"/>
        </w:rPr>
        <w:t>2.3. Results of the Educational Intervention and Adherence Analysis</w:t>
      </w:r>
    </w:p>
    <w:p w:rsidR="00A308CC" w:rsidRPr="00A308CC" w:rsidRDefault="00A308CC" w:rsidP="00A308CC">
      <w:pPr>
        <w:pStyle w:val="a4"/>
        <w:spacing w:line="360" w:lineRule="auto"/>
        <w:jc w:val="both"/>
        <w:rPr>
          <w:sz w:val="28"/>
          <w:szCs w:val="28"/>
        </w:rPr>
      </w:pPr>
      <w:r w:rsidRPr="00A308CC">
        <w:rPr>
          <w:rStyle w:val="fadeinpfttw8"/>
          <w:sz w:val="28"/>
          <w:szCs w:val="28"/>
        </w:rPr>
        <w:t>The core aim of this study was to evaluate the effect of a structured, nurse-led educational intervention on medication adherence among patients with inflammatory bowel disease (IBD). This section presents the findings of the quantitative analysis, comparing pre- and post-intervention data across key outcome measures.</w:t>
      </w:r>
    </w:p>
    <w:p w:rsidR="00A308CC" w:rsidRPr="00A308CC" w:rsidRDefault="00A308CC" w:rsidP="00A308CC">
      <w:pPr>
        <w:pStyle w:val="4"/>
        <w:spacing w:line="360" w:lineRule="auto"/>
        <w:jc w:val="both"/>
        <w:rPr>
          <w:sz w:val="28"/>
          <w:szCs w:val="28"/>
        </w:rPr>
      </w:pPr>
      <w:r w:rsidRPr="00A308CC">
        <w:rPr>
          <w:rStyle w:val="fadeinpfttw8"/>
          <w:sz w:val="28"/>
          <w:szCs w:val="28"/>
        </w:rPr>
        <w:t>Medication Adherence Before and After Intervention</w:t>
      </w:r>
    </w:p>
    <w:p w:rsidR="00A308CC" w:rsidRPr="00A308CC" w:rsidRDefault="00A308CC" w:rsidP="00A308CC">
      <w:pPr>
        <w:pStyle w:val="a4"/>
        <w:spacing w:line="360" w:lineRule="auto"/>
        <w:jc w:val="both"/>
        <w:rPr>
          <w:sz w:val="28"/>
          <w:szCs w:val="28"/>
        </w:rPr>
      </w:pPr>
      <w:r w:rsidRPr="00A308CC">
        <w:rPr>
          <w:rStyle w:val="fadeinpfttw8"/>
          <w:sz w:val="28"/>
          <w:szCs w:val="28"/>
        </w:rPr>
        <w:t xml:space="preserve">To assess medication adherence, the </w:t>
      </w:r>
      <w:r w:rsidRPr="00A308CC">
        <w:rPr>
          <w:rStyle w:val="fadeinpfttw8"/>
          <w:b/>
          <w:bCs/>
          <w:sz w:val="28"/>
          <w:szCs w:val="28"/>
        </w:rPr>
        <w:t>Morisky Medication Adherence Scale (MMAS-8)</w:t>
      </w:r>
      <w:r w:rsidRPr="00A308CC">
        <w:rPr>
          <w:rStyle w:val="fadeinpfttw8"/>
          <w:sz w:val="28"/>
          <w:szCs w:val="28"/>
        </w:rPr>
        <w:t xml:space="preserve"> was administered at baseline and three months after the completion of the educational program. MMAS-8 scores range from 0 to 8, with higher scores indicating better adherence. According to standardized interpretation, a score of:</w:t>
      </w:r>
    </w:p>
    <w:p w:rsidR="00A308CC" w:rsidRPr="00A308CC" w:rsidRDefault="00A308CC" w:rsidP="0017650E">
      <w:pPr>
        <w:pStyle w:val="a4"/>
        <w:numPr>
          <w:ilvl w:val="0"/>
          <w:numId w:val="12"/>
        </w:numPr>
        <w:spacing w:line="360" w:lineRule="auto"/>
        <w:jc w:val="both"/>
        <w:rPr>
          <w:sz w:val="28"/>
          <w:szCs w:val="28"/>
        </w:rPr>
      </w:pPr>
      <w:r w:rsidRPr="00A308CC">
        <w:rPr>
          <w:rStyle w:val="fadeinpfttw8"/>
          <w:b/>
          <w:bCs/>
          <w:sz w:val="28"/>
          <w:szCs w:val="28"/>
        </w:rPr>
        <w:t>&lt;6</w:t>
      </w:r>
      <w:r w:rsidRPr="00A308CC">
        <w:rPr>
          <w:rStyle w:val="fadeinpfttw8"/>
          <w:sz w:val="28"/>
          <w:szCs w:val="28"/>
        </w:rPr>
        <w:t xml:space="preserve"> reflects </w:t>
      </w:r>
      <w:r w:rsidRPr="00A308CC">
        <w:rPr>
          <w:rStyle w:val="fadeinpfttw8"/>
          <w:b/>
          <w:bCs/>
          <w:sz w:val="28"/>
          <w:szCs w:val="28"/>
        </w:rPr>
        <w:t>low adherence</w:t>
      </w:r>
      <w:r w:rsidRPr="00A308CC">
        <w:rPr>
          <w:rStyle w:val="fadeinpfttw8"/>
          <w:sz w:val="28"/>
          <w:szCs w:val="28"/>
        </w:rPr>
        <w:t>,</w:t>
      </w:r>
    </w:p>
    <w:p w:rsidR="00A308CC" w:rsidRPr="00A308CC" w:rsidRDefault="00A308CC" w:rsidP="0017650E">
      <w:pPr>
        <w:pStyle w:val="a4"/>
        <w:numPr>
          <w:ilvl w:val="0"/>
          <w:numId w:val="12"/>
        </w:numPr>
        <w:spacing w:line="360" w:lineRule="auto"/>
        <w:jc w:val="both"/>
        <w:rPr>
          <w:sz w:val="28"/>
          <w:szCs w:val="28"/>
        </w:rPr>
      </w:pPr>
      <w:r w:rsidRPr="00A308CC">
        <w:rPr>
          <w:rStyle w:val="fadeinpfttw8"/>
          <w:b/>
          <w:bCs/>
          <w:sz w:val="28"/>
          <w:szCs w:val="28"/>
        </w:rPr>
        <w:t>6–7</w:t>
      </w:r>
      <w:r w:rsidRPr="00A308CC">
        <w:rPr>
          <w:rStyle w:val="fadeinpfttw8"/>
          <w:sz w:val="28"/>
          <w:szCs w:val="28"/>
        </w:rPr>
        <w:t xml:space="preserve"> indicates </w:t>
      </w:r>
      <w:r w:rsidRPr="00A308CC">
        <w:rPr>
          <w:rStyle w:val="fadeinpfttw8"/>
          <w:b/>
          <w:bCs/>
          <w:sz w:val="28"/>
          <w:szCs w:val="28"/>
        </w:rPr>
        <w:t>medium adherence</w:t>
      </w:r>
      <w:r w:rsidRPr="00A308CC">
        <w:rPr>
          <w:rStyle w:val="fadeinpfttw8"/>
          <w:sz w:val="28"/>
          <w:szCs w:val="28"/>
        </w:rPr>
        <w:t>, and</w:t>
      </w:r>
    </w:p>
    <w:p w:rsidR="00A308CC" w:rsidRPr="00A308CC" w:rsidRDefault="00A308CC" w:rsidP="0017650E">
      <w:pPr>
        <w:pStyle w:val="a4"/>
        <w:numPr>
          <w:ilvl w:val="0"/>
          <w:numId w:val="12"/>
        </w:numPr>
        <w:spacing w:line="360" w:lineRule="auto"/>
        <w:jc w:val="both"/>
        <w:rPr>
          <w:sz w:val="28"/>
          <w:szCs w:val="28"/>
        </w:rPr>
      </w:pPr>
      <w:r w:rsidRPr="00A308CC">
        <w:rPr>
          <w:rStyle w:val="fadeinpfttw8"/>
          <w:b/>
          <w:bCs/>
          <w:sz w:val="28"/>
          <w:szCs w:val="28"/>
        </w:rPr>
        <w:t>8</w:t>
      </w:r>
      <w:r w:rsidRPr="00A308CC">
        <w:rPr>
          <w:rStyle w:val="fadeinpfttw8"/>
          <w:sz w:val="28"/>
          <w:szCs w:val="28"/>
        </w:rPr>
        <w:t xml:space="preserve"> represents </w:t>
      </w:r>
      <w:r w:rsidRPr="00A308CC">
        <w:rPr>
          <w:rStyle w:val="fadeinpfttw8"/>
          <w:b/>
          <w:bCs/>
          <w:sz w:val="28"/>
          <w:szCs w:val="28"/>
        </w:rPr>
        <w:t>high adherence</w:t>
      </w:r>
      <w:r w:rsidRPr="00A308CC">
        <w:rPr>
          <w:rStyle w:val="fadeinpfttw8"/>
          <w:sz w:val="28"/>
          <w:szCs w:val="28"/>
        </w:rPr>
        <w:t>.</w:t>
      </w:r>
    </w:p>
    <w:p w:rsidR="00A308CC" w:rsidRPr="00A308CC" w:rsidRDefault="00A308CC" w:rsidP="00A308CC">
      <w:pPr>
        <w:pStyle w:val="a4"/>
        <w:spacing w:line="360" w:lineRule="auto"/>
        <w:jc w:val="both"/>
        <w:rPr>
          <w:sz w:val="28"/>
          <w:szCs w:val="28"/>
        </w:rPr>
      </w:pPr>
      <w:r w:rsidRPr="00A308CC">
        <w:rPr>
          <w:rStyle w:val="fadeinpfttw8"/>
          <w:sz w:val="28"/>
          <w:szCs w:val="28"/>
        </w:rPr>
        <w:t>At baseline:</w:t>
      </w:r>
    </w:p>
    <w:p w:rsidR="00A308CC" w:rsidRPr="00A308CC" w:rsidRDefault="00A308CC" w:rsidP="0017650E">
      <w:pPr>
        <w:pStyle w:val="a4"/>
        <w:numPr>
          <w:ilvl w:val="0"/>
          <w:numId w:val="13"/>
        </w:numPr>
        <w:spacing w:line="360" w:lineRule="auto"/>
        <w:jc w:val="both"/>
        <w:rPr>
          <w:sz w:val="28"/>
          <w:szCs w:val="28"/>
        </w:rPr>
      </w:pPr>
      <w:r w:rsidRPr="00A308CC">
        <w:rPr>
          <w:rStyle w:val="fadeinpfttw8"/>
          <w:b/>
          <w:bCs/>
          <w:sz w:val="28"/>
          <w:szCs w:val="28"/>
        </w:rPr>
        <w:t>37 patients (43.5%)</w:t>
      </w:r>
      <w:r w:rsidRPr="00A308CC">
        <w:rPr>
          <w:rStyle w:val="fadeinpfttw8"/>
          <w:sz w:val="28"/>
          <w:szCs w:val="28"/>
        </w:rPr>
        <w:t xml:space="preserve"> scored &lt;6 (low adherence),</w:t>
      </w:r>
    </w:p>
    <w:p w:rsidR="00A308CC" w:rsidRPr="00A308CC" w:rsidRDefault="00A308CC" w:rsidP="0017650E">
      <w:pPr>
        <w:pStyle w:val="a4"/>
        <w:numPr>
          <w:ilvl w:val="0"/>
          <w:numId w:val="13"/>
        </w:numPr>
        <w:spacing w:line="360" w:lineRule="auto"/>
        <w:jc w:val="both"/>
        <w:rPr>
          <w:sz w:val="28"/>
          <w:szCs w:val="28"/>
        </w:rPr>
      </w:pPr>
      <w:r w:rsidRPr="00A308CC">
        <w:rPr>
          <w:rStyle w:val="fadeinpfttw8"/>
          <w:b/>
          <w:bCs/>
          <w:sz w:val="28"/>
          <w:szCs w:val="28"/>
        </w:rPr>
        <w:t>32 patients (37.6%)</w:t>
      </w:r>
      <w:r w:rsidRPr="00A308CC">
        <w:rPr>
          <w:rStyle w:val="fadeinpfttw8"/>
          <w:sz w:val="28"/>
          <w:szCs w:val="28"/>
        </w:rPr>
        <w:t xml:space="preserve"> scored between 6 and 7 (moderate adherence),</w:t>
      </w:r>
    </w:p>
    <w:p w:rsidR="00A308CC" w:rsidRPr="00A308CC" w:rsidRDefault="00A308CC" w:rsidP="0017650E">
      <w:pPr>
        <w:pStyle w:val="a4"/>
        <w:numPr>
          <w:ilvl w:val="0"/>
          <w:numId w:val="13"/>
        </w:numPr>
        <w:spacing w:line="360" w:lineRule="auto"/>
        <w:jc w:val="both"/>
        <w:rPr>
          <w:sz w:val="28"/>
          <w:szCs w:val="28"/>
        </w:rPr>
      </w:pPr>
      <w:r w:rsidRPr="00A308CC">
        <w:rPr>
          <w:rStyle w:val="fadeinpfttw8"/>
          <w:b/>
          <w:bCs/>
          <w:sz w:val="28"/>
          <w:szCs w:val="28"/>
        </w:rPr>
        <w:lastRenderedPageBreak/>
        <w:t>16 patients (18.8%)</w:t>
      </w:r>
      <w:r w:rsidRPr="00A308CC">
        <w:rPr>
          <w:rStyle w:val="fadeinpfttw8"/>
          <w:sz w:val="28"/>
          <w:szCs w:val="28"/>
        </w:rPr>
        <w:t xml:space="preserve"> scored 8 (high adherence).</w:t>
      </w:r>
    </w:p>
    <w:p w:rsidR="00A308CC" w:rsidRPr="00A308CC" w:rsidRDefault="00A308CC" w:rsidP="00A308CC">
      <w:pPr>
        <w:pStyle w:val="a4"/>
        <w:spacing w:line="360" w:lineRule="auto"/>
        <w:jc w:val="both"/>
        <w:rPr>
          <w:sz w:val="28"/>
          <w:szCs w:val="28"/>
        </w:rPr>
      </w:pPr>
      <w:r w:rsidRPr="00A308CC">
        <w:rPr>
          <w:rStyle w:val="fadeinpfttw8"/>
          <w:sz w:val="28"/>
          <w:szCs w:val="28"/>
        </w:rPr>
        <w:t>Following the intervention:</w:t>
      </w:r>
    </w:p>
    <w:p w:rsidR="00A308CC" w:rsidRPr="00A308CC" w:rsidRDefault="00A308CC" w:rsidP="0017650E">
      <w:pPr>
        <w:pStyle w:val="a4"/>
        <w:numPr>
          <w:ilvl w:val="0"/>
          <w:numId w:val="14"/>
        </w:numPr>
        <w:spacing w:line="360" w:lineRule="auto"/>
        <w:jc w:val="both"/>
        <w:rPr>
          <w:sz w:val="28"/>
          <w:szCs w:val="28"/>
        </w:rPr>
      </w:pPr>
      <w:r w:rsidRPr="00A308CC">
        <w:rPr>
          <w:rStyle w:val="fadeinpfttw8"/>
          <w:b/>
          <w:bCs/>
          <w:sz w:val="28"/>
          <w:szCs w:val="28"/>
        </w:rPr>
        <w:t>16 patients (18.8%)</w:t>
      </w:r>
      <w:r w:rsidRPr="00A308CC">
        <w:rPr>
          <w:rStyle w:val="fadeinpfttw8"/>
          <w:sz w:val="28"/>
          <w:szCs w:val="28"/>
        </w:rPr>
        <w:t xml:space="preserve"> remained in the low adherence category,</w:t>
      </w:r>
    </w:p>
    <w:p w:rsidR="00A308CC" w:rsidRPr="00A308CC" w:rsidRDefault="00A308CC" w:rsidP="0017650E">
      <w:pPr>
        <w:pStyle w:val="a4"/>
        <w:numPr>
          <w:ilvl w:val="0"/>
          <w:numId w:val="14"/>
        </w:numPr>
        <w:spacing w:line="360" w:lineRule="auto"/>
        <w:jc w:val="both"/>
        <w:rPr>
          <w:sz w:val="28"/>
          <w:szCs w:val="28"/>
        </w:rPr>
      </w:pPr>
      <w:r w:rsidRPr="00A308CC">
        <w:rPr>
          <w:rStyle w:val="fadeinpfttw8"/>
          <w:b/>
          <w:bCs/>
          <w:sz w:val="28"/>
          <w:szCs w:val="28"/>
        </w:rPr>
        <w:t>28 patients (32.9%)</w:t>
      </w:r>
      <w:r w:rsidRPr="00A308CC">
        <w:rPr>
          <w:rStyle w:val="fadeinpfttw8"/>
          <w:sz w:val="28"/>
          <w:szCs w:val="28"/>
        </w:rPr>
        <w:t xml:space="preserve"> had moderate adherence,</w:t>
      </w:r>
    </w:p>
    <w:p w:rsidR="00A308CC" w:rsidRPr="00A308CC" w:rsidRDefault="00A308CC" w:rsidP="0017650E">
      <w:pPr>
        <w:pStyle w:val="a4"/>
        <w:numPr>
          <w:ilvl w:val="0"/>
          <w:numId w:val="14"/>
        </w:numPr>
        <w:spacing w:line="360" w:lineRule="auto"/>
        <w:jc w:val="both"/>
        <w:rPr>
          <w:sz w:val="28"/>
          <w:szCs w:val="28"/>
        </w:rPr>
      </w:pPr>
      <w:r w:rsidRPr="00A308CC">
        <w:rPr>
          <w:rStyle w:val="fadeinpfttw8"/>
          <w:b/>
          <w:bCs/>
          <w:sz w:val="28"/>
          <w:szCs w:val="28"/>
        </w:rPr>
        <w:t>41 patients (48.2%)</w:t>
      </w:r>
      <w:r w:rsidRPr="00A308CC">
        <w:rPr>
          <w:rStyle w:val="fadeinpfttw8"/>
          <w:sz w:val="28"/>
          <w:szCs w:val="28"/>
        </w:rPr>
        <w:t xml:space="preserve"> achieved high adherence.</w:t>
      </w:r>
    </w:p>
    <w:p w:rsidR="00A308CC" w:rsidRPr="00A308CC" w:rsidRDefault="00A308CC" w:rsidP="00A308CC">
      <w:pPr>
        <w:pStyle w:val="a4"/>
        <w:spacing w:line="360" w:lineRule="auto"/>
        <w:jc w:val="both"/>
        <w:rPr>
          <w:sz w:val="28"/>
          <w:szCs w:val="28"/>
        </w:rPr>
      </w:pPr>
      <w:r w:rsidRPr="00A308CC">
        <w:rPr>
          <w:rStyle w:val="fadeinpfttw8"/>
          <w:sz w:val="28"/>
          <w:szCs w:val="28"/>
        </w:rPr>
        <w:t xml:space="preserve">The </w:t>
      </w:r>
      <w:r w:rsidRPr="00A308CC">
        <w:rPr>
          <w:rStyle w:val="fadeinpfttw8"/>
          <w:b/>
          <w:bCs/>
          <w:sz w:val="28"/>
          <w:szCs w:val="28"/>
        </w:rPr>
        <w:t>mean MMAS-8 score</w:t>
      </w:r>
      <w:r w:rsidRPr="00A308CC">
        <w:rPr>
          <w:rStyle w:val="fadeinpfttw8"/>
          <w:sz w:val="28"/>
          <w:szCs w:val="28"/>
        </w:rPr>
        <w:t xml:space="preserve"> increased significantly from </w:t>
      </w:r>
      <w:r w:rsidRPr="00A308CC">
        <w:rPr>
          <w:rStyle w:val="fadeinpfttw8"/>
          <w:b/>
          <w:bCs/>
          <w:sz w:val="28"/>
          <w:szCs w:val="28"/>
        </w:rPr>
        <w:t>5.4 (SD = 1.2)</w:t>
      </w:r>
      <w:r w:rsidRPr="00A308CC">
        <w:rPr>
          <w:rStyle w:val="fadeinpfttw8"/>
          <w:sz w:val="28"/>
          <w:szCs w:val="28"/>
        </w:rPr>
        <w:t xml:space="preserve"> at baseline to </w:t>
      </w:r>
      <w:r w:rsidRPr="00A308CC">
        <w:rPr>
          <w:rStyle w:val="fadeinpfttw8"/>
          <w:b/>
          <w:bCs/>
          <w:sz w:val="28"/>
          <w:szCs w:val="28"/>
        </w:rPr>
        <w:t>7.1 (SD = 0.9)</w:t>
      </w:r>
      <w:r w:rsidRPr="00A308CC">
        <w:rPr>
          <w:rStyle w:val="fadeinpfttw8"/>
          <w:sz w:val="28"/>
          <w:szCs w:val="28"/>
        </w:rPr>
        <w:t xml:space="preserve"> after the intervention (</w:t>
      </w:r>
      <w:r w:rsidRPr="00A308CC">
        <w:rPr>
          <w:rStyle w:val="fadeinpfttw8"/>
          <w:b/>
          <w:bCs/>
          <w:sz w:val="28"/>
          <w:szCs w:val="28"/>
        </w:rPr>
        <w:t>p &lt; 0.001</w:t>
      </w:r>
      <w:r w:rsidRPr="00A308CC">
        <w:rPr>
          <w:rStyle w:val="fadeinpfttw8"/>
          <w:sz w:val="28"/>
          <w:szCs w:val="28"/>
        </w:rPr>
        <w:t>), indicating a marked improvement in adherence behavior.</w:t>
      </w:r>
    </w:p>
    <w:p w:rsidR="00A308CC" w:rsidRPr="00A308CC" w:rsidRDefault="00A308CC" w:rsidP="00A308CC">
      <w:pPr>
        <w:pStyle w:val="4"/>
        <w:spacing w:line="360" w:lineRule="auto"/>
        <w:jc w:val="both"/>
        <w:rPr>
          <w:sz w:val="28"/>
          <w:szCs w:val="28"/>
        </w:rPr>
      </w:pPr>
      <w:r w:rsidRPr="00A308CC">
        <w:rPr>
          <w:rStyle w:val="fadeinpfttw8"/>
          <w:sz w:val="28"/>
          <w:szCs w:val="28"/>
        </w:rPr>
        <w:t>Knowledge Assessment Scores</w:t>
      </w:r>
    </w:p>
    <w:p w:rsidR="00A308CC" w:rsidRPr="00A308CC" w:rsidRDefault="00A308CC" w:rsidP="00A308CC">
      <w:pPr>
        <w:pStyle w:val="a4"/>
        <w:spacing w:line="360" w:lineRule="auto"/>
        <w:jc w:val="both"/>
        <w:rPr>
          <w:sz w:val="28"/>
          <w:szCs w:val="28"/>
        </w:rPr>
      </w:pPr>
      <w:r w:rsidRPr="00A308CC">
        <w:rPr>
          <w:rStyle w:val="fadeinpfttw8"/>
          <w:sz w:val="28"/>
          <w:szCs w:val="28"/>
        </w:rPr>
        <w:t xml:space="preserve">Participants completed a 15-item knowledge questionnaire focused on disease mechanisms, treatment goals, side effects, and self-management strategies. At baseline, the mean knowledge score was </w:t>
      </w:r>
      <w:r w:rsidRPr="00A308CC">
        <w:rPr>
          <w:rStyle w:val="fadeinpfttw8"/>
          <w:b/>
          <w:bCs/>
          <w:sz w:val="28"/>
          <w:szCs w:val="28"/>
        </w:rPr>
        <w:t>8.2/15 (54.6%)</w:t>
      </w:r>
      <w:r w:rsidRPr="00A308CC">
        <w:rPr>
          <w:rStyle w:val="fadeinpfttw8"/>
          <w:sz w:val="28"/>
          <w:szCs w:val="28"/>
        </w:rPr>
        <w:t xml:space="preserve">, indicating limited understanding. Post-intervention, the mean score rose to </w:t>
      </w:r>
      <w:r w:rsidRPr="00A308CC">
        <w:rPr>
          <w:rStyle w:val="fadeinpfttw8"/>
          <w:b/>
          <w:bCs/>
          <w:sz w:val="28"/>
          <w:szCs w:val="28"/>
        </w:rPr>
        <w:t>12.5/15 (83.3%)</w:t>
      </w:r>
      <w:r w:rsidRPr="00A308CC">
        <w:rPr>
          <w:rStyle w:val="fadeinpfttw8"/>
          <w:sz w:val="28"/>
          <w:szCs w:val="28"/>
        </w:rPr>
        <w:t xml:space="preserve"> (</w:t>
      </w:r>
      <w:r w:rsidRPr="00A308CC">
        <w:rPr>
          <w:rStyle w:val="fadeinpfttw8"/>
          <w:b/>
          <w:bCs/>
          <w:sz w:val="28"/>
          <w:szCs w:val="28"/>
        </w:rPr>
        <w:t>p &lt; 0.001</w:t>
      </w:r>
      <w:r w:rsidRPr="00A308CC">
        <w:rPr>
          <w:rStyle w:val="fadeinpfttw8"/>
          <w:sz w:val="28"/>
          <w:szCs w:val="28"/>
        </w:rPr>
        <w:t>), reflecting a statistically and clinically significant improvement.</w:t>
      </w:r>
    </w:p>
    <w:p w:rsidR="00A308CC" w:rsidRPr="00A308CC" w:rsidRDefault="00A308CC" w:rsidP="00A308CC">
      <w:pPr>
        <w:pStyle w:val="a4"/>
        <w:spacing w:line="360" w:lineRule="auto"/>
        <w:jc w:val="both"/>
        <w:rPr>
          <w:sz w:val="28"/>
          <w:szCs w:val="28"/>
        </w:rPr>
      </w:pPr>
      <w:r w:rsidRPr="00A308CC">
        <w:rPr>
          <w:rStyle w:val="fadeinpfttw8"/>
          <w:sz w:val="28"/>
          <w:szCs w:val="28"/>
        </w:rPr>
        <w:t>Notably, patients with previously low MMAS-8 scores demonstrated the greatest improvement in knowledge, suggesting that limited disease insight may be a major contributor to non-adherence.</w:t>
      </w:r>
    </w:p>
    <w:p w:rsidR="00A308CC" w:rsidRPr="00A308CC" w:rsidRDefault="00A308CC" w:rsidP="00A308CC">
      <w:pPr>
        <w:pStyle w:val="4"/>
        <w:spacing w:line="360" w:lineRule="auto"/>
        <w:jc w:val="both"/>
        <w:rPr>
          <w:sz w:val="28"/>
          <w:szCs w:val="28"/>
        </w:rPr>
      </w:pPr>
      <w:r w:rsidRPr="00A308CC">
        <w:rPr>
          <w:rStyle w:val="fadeinpfttw8"/>
          <w:sz w:val="28"/>
          <w:szCs w:val="28"/>
        </w:rPr>
        <w:t>Patient-Reported Satisfaction and Confidence</w:t>
      </w:r>
    </w:p>
    <w:p w:rsidR="00A308CC" w:rsidRPr="00A308CC" w:rsidRDefault="00A308CC" w:rsidP="00A308CC">
      <w:pPr>
        <w:pStyle w:val="a4"/>
        <w:spacing w:line="360" w:lineRule="auto"/>
        <w:jc w:val="both"/>
        <w:rPr>
          <w:sz w:val="28"/>
          <w:szCs w:val="28"/>
        </w:rPr>
      </w:pPr>
      <w:r w:rsidRPr="00A308CC">
        <w:rPr>
          <w:rStyle w:val="fadeinpfttw8"/>
          <w:sz w:val="28"/>
          <w:szCs w:val="28"/>
        </w:rPr>
        <w:t>In addition to quantitative measures, a short Likert-scale evaluation (1–5) was used to assess perceived satisfaction with nursing education and self-confidence in disease management. Results indicated:</w:t>
      </w:r>
    </w:p>
    <w:p w:rsidR="00A308CC" w:rsidRPr="00A308CC" w:rsidRDefault="00A308CC" w:rsidP="0017650E">
      <w:pPr>
        <w:pStyle w:val="a4"/>
        <w:numPr>
          <w:ilvl w:val="0"/>
          <w:numId w:val="15"/>
        </w:numPr>
        <w:spacing w:line="360" w:lineRule="auto"/>
        <w:jc w:val="both"/>
        <w:rPr>
          <w:sz w:val="28"/>
          <w:szCs w:val="28"/>
        </w:rPr>
      </w:pPr>
      <w:r w:rsidRPr="00A308CC">
        <w:rPr>
          <w:rStyle w:val="fadeinpfttw8"/>
          <w:b/>
          <w:bCs/>
          <w:sz w:val="28"/>
          <w:szCs w:val="28"/>
        </w:rPr>
        <w:t>92% of participants</w:t>
      </w:r>
      <w:r w:rsidRPr="00A308CC">
        <w:rPr>
          <w:rStyle w:val="fadeinpfttw8"/>
          <w:sz w:val="28"/>
          <w:szCs w:val="28"/>
        </w:rPr>
        <w:t xml:space="preserve"> rated the educational sessions as "very helpful" or "extremely helpful."</w:t>
      </w:r>
    </w:p>
    <w:p w:rsidR="00A308CC" w:rsidRPr="00A308CC" w:rsidRDefault="00A308CC" w:rsidP="0017650E">
      <w:pPr>
        <w:pStyle w:val="a4"/>
        <w:numPr>
          <w:ilvl w:val="0"/>
          <w:numId w:val="15"/>
        </w:numPr>
        <w:spacing w:line="360" w:lineRule="auto"/>
        <w:jc w:val="both"/>
        <w:rPr>
          <w:sz w:val="28"/>
          <w:szCs w:val="28"/>
        </w:rPr>
      </w:pPr>
      <w:r w:rsidRPr="00A308CC">
        <w:rPr>
          <w:rStyle w:val="fadeinpfttw8"/>
          <w:b/>
          <w:bCs/>
          <w:sz w:val="28"/>
          <w:szCs w:val="28"/>
        </w:rPr>
        <w:t>84%</w:t>
      </w:r>
      <w:r w:rsidRPr="00A308CC">
        <w:rPr>
          <w:rStyle w:val="fadeinpfttw8"/>
          <w:sz w:val="28"/>
          <w:szCs w:val="28"/>
        </w:rPr>
        <w:t xml:space="preserve"> reported improved confidence in managing treatment routines.</w:t>
      </w:r>
    </w:p>
    <w:p w:rsidR="00A308CC" w:rsidRPr="00A308CC" w:rsidRDefault="00A308CC" w:rsidP="0017650E">
      <w:pPr>
        <w:pStyle w:val="a4"/>
        <w:numPr>
          <w:ilvl w:val="0"/>
          <w:numId w:val="15"/>
        </w:numPr>
        <w:spacing w:line="360" w:lineRule="auto"/>
        <w:jc w:val="both"/>
        <w:rPr>
          <w:sz w:val="28"/>
          <w:szCs w:val="28"/>
        </w:rPr>
      </w:pPr>
      <w:r w:rsidRPr="00A308CC">
        <w:rPr>
          <w:rStyle w:val="fadeinpfttw8"/>
          <w:b/>
          <w:bCs/>
          <w:sz w:val="28"/>
          <w:szCs w:val="28"/>
        </w:rPr>
        <w:t>77%</w:t>
      </w:r>
      <w:r w:rsidRPr="00A308CC">
        <w:rPr>
          <w:rStyle w:val="fadeinpfttw8"/>
          <w:sz w:val="28"/>
          <w:szCs w:val="28"/>
        </w:rPr>
        <w:t xml:space="preserve"> indicated greater trust in their healthcare providers, particularly nursing staff.</w:t>
      </w:r>
    </w:p>
    <w:p w:rsidR="00A308CC" w:rsidRPr="00A308CC" w:rsidRDefault="00A308CC" w:rsidP="00A308CC">
      <w:pPr>
        <w:pStyle w:val="a4"/>
        <w:spacing w:line="360" w:lineRule="auto"/>
        <w:jc w:val="both"/>
        <w:rPr>
          <w:sz w:val="28"/>
          <w:szCs w:val="28"/>
        </w:rPr>
      </w:pPr>
      <w:r w:rsidRPr="00A308CC">
        <w:rPr>
          <w:rStyle w:val="fadeinpfttw8"/>
          <w:sz w:val="28"/>
          <w:szCs w:val="28"/>
        </w:rPr>
        <w:lastRenderedPageBreak/>
        <w:t>This aligns with existing evidence that interpersonal trust and perceived empathy enhance treatment engagement [57].</w:t>
      </w:r>
    </w:p>
    <w:p w:rsidR="00A308CC" w:rsidRPr="00A308CC" w:rsidRDefault="00A308CC" w:rsidP="00A308CC">
      <w:pPr>
        <w:pStyle w:val="4"/>
        <w:spacing w:line="360" w:lineRule="auto"/>
        <w:jc w:val="both"/>
        <w:rPr>
          <w:sz w:val="28"/>
          <w:szCs w:val="28"/>
        </w:rPr>
      </w:pPr>
      <w:r w:rsidRPr="00A308CC">
        <w:rPr>
          <w:rStyle w:val="fadeinpfttw8"/>
          <w:sz w:val="28"/>
          <w:szCs w:val="28"/>
        </w:rPr>
        <w:t>Adherence Trends by Demographic and Clinical Subgroups</w:t>
      </w:r>
    </w:p>
    <w:p w:rsidR="00A308CC" w:rsidRPr="00A308CC" w:rsidRDefault="00A308CC" w:rsidP="00A308CC">
      <w:pPr>
        <w:pStyle w:val="a4"/>
        <w:spacing w:line="360" w:lineRule="auto"/>
        <w:jc w:val="both"/>
        <w:rPr>
          <w:sz w:val="28"/>
          <w:szCs w:val="28"/>
        </w:rPr>
      </w:pPr>
      <w:r w:rsidRPr="00A308CC">
        <w:rPr>
          <w:rStyle w:val="fadeinpfttw8"/>
          <w:sz w:val="28"/>
          <w:szCs w:val="28"/>
        </w:rPr>
        <w:t>Stratified analysis was conducted to evaluate whether improvements in adherence varied by demographic or clinical characteristics.</w:t>
      </w:r>
    </w:p>
    <w:p w:rsidR="00A308CC" w:rsidRPr="00A308CC" w:rsidRDefault="00A308CC" w:rsidP="0017650E">
      <w:pPr>
        <w:pStyle w:val="a4"/>
        <w:numPr>
          <w:ilvl w:val="0"/>
          <w:numId w:val="16"/>
        </w:numPr>
        <w:spacing w:line="360" w:lineRule="auto"/>
        <w:jc w:val="both"/>
        <w:rPr>
          <w:sz w:val="28"/>
          <w:szCs w:val="28"/>
        </w:rPr>
      </w:pPr>
      <w:r w:rsidRPr="00A308CC">
        <w:rPr>
          <w:rStyle w:val="fadeinpfttw8"/>
          <w:b/>
          <w:bCs/>
          <w:sz w:val="28"/>
          <w:szCs w:val="28"/>
        </w:rPr>
        <w:t>Age:</w:t>
      </w:r>
      <w:r w:rsidRPr="00A308CC">
        <w:rPr>
          <w:rStyle w:val="fadeinpfttw8"/>
          <w:sz w:val="28"/>
          <w:szCs w:val="28"/>
        </w:rPr>
        <w:t xml:space="preserve"> Patients aged 25–44 showed the greatest post-intervention improvement, likely due to greater digital literacy and motivation for long-term self-care.</w:t>
      </w:r>
    </w:p>
    <w:p w:rsidR="00A308CC" w:rsidRPr="00A308CC" w:rsidRDefault="00A308CC" w:rsidP="0017650E">
      <w:pPr>
        <w:pStyle w:val="a4"/>
        <w:numPr>
          <w:ilvl w:val="0"/>
          <w:numId w:val="16"/>
        </w:numPr>
        <w:spacing w:line="360" w:lineRule="auto"/>
        <w:jc w:val="both"/>
        <w:rPr>
          <w:sz w:val="28"/>
          <w:szCs w:val="28"/>
        </w:rPr>
      </w:pPr>
      <w:r w:rsidRPr="00A308CC">
        <w:rPr>
          <w:rStyle w:val="fadeinpfttw8"/>
          <w:b/>
          <w:bCs/>
          <w:sz w:val="28"/>
          <w:szCs w:val="28"/>
        </w:rPr>
        <w:t>Gender:</w:t>
      </w:r>
      <w:r w:rsidRPr="00A308CC">
        <w:rPr>
          <w:rStyle w:val="fadeinpfttw8"/>
          <w:sz w:val="28"/>
          <w:szCs w:val="28"/>
        </w:rPr>
        <w:t xml:space="preserve"> Female patients demonstrated slightly higher adherence gains, possibly reflecting more frequent healthcare interactions and proactive health-seeking behavior.</w:t>
      </w:r>
    </w:p>
    <w:p w:rsidR="00A308CC" w:rsidRPr="00A308CC" w:rsidRDefault="00A308CC" w:rsidP="0017650E">
      <w:pPr>
        <w:pStyle w:val="a4"/>
        <w:numPr>
          <w:ilvl w:val="0"/>
          <w:numId w:val="16"/>
        </w:numPr>
        <w:spacing w:line="360" w:lineRule="auto"/>
        <w:jc w:val="both"/>
        <w:rPr>
          <w:sz w:val="28"/>
          <w:szCs w:val="28"/>
        </w:rPr>
      </w:pPr>
      <w:r w:rsidRPr="00A308CC">
        <w:rPr>
          <w:rStyle w:val="fadeinpfttw8"/>
          <w:b/>
          <w:bCs/>
          <w:sz w:val="28"/>
          <w:szCs w:val="28"/>
        </w:rPr>
        <w:t>Diagnosis:</w:t>
      </w:r>
      <w:r w:rsidRPr="00A308CC">
        <w:rPr>
          <w:rStyle w:val="fadeinpfttw8"/>
          <w:sz w:val="28"/>
          <w:szCs w:val="28"/>
        </w:rPr>
        <w:t xml:space="preserve"> Patients with Crohn’s disease had marginally lower baseline adherence but exhibited more pronounced improvements after intervention.</w:t>
      </w:r>
    </w:p>
    <w:p w:rsidR="00A308CC" w:rsidRPr="00A308CC" w:rsidRDefault="00A308CC" w:rsidP="00A308CC">
      <w:pPr>
        <w:pStyle w:val="a4"/>
        <w:spacing w:line="360" w:lineRule="auto"/>
        <w:jc w:val="both"/>
        <w:rPr>
          <w:sz w:val="28"/>
          <w:szCs w:val="28"/>
        </w:rPr>
      </w:pPr>
      <w:r w:rsidRPr="00A308CC">
        <w:rPr>
          <w:rStyle w:val="fadeinpfttw8"/>
          <w:sz w:val="28"/>
          <w:szCs w:val="28"/>
        </w:rPr>
        <w:t>The table below summarizes the MMAS-8 scores by subgroup:</w:t>
      </w:r>
    </w:p>
    <w:tbl>
      <w:tblPr>
        <w:tblW w:w="10206" w:type="dxa"/>
        <w:tblCellSpacing w:w="15" w:type="dxa"/>
        <w:tblCellMar>
          <w:top w:w="15" w:type="dxa"/>
          <w:left w:w="15" w:type="dxa"/>
          <w:bottom w:w="15" w:type="dxa"/>
          <w:right w:w="15" w:type="dxa"/>
        </w:tblCellMar>
        <w:tblLook w:val="04A0" w:firstRow="1" w:lastRow="0" w:firstColumn="1" w:lastColumn="0" w:noHBand="0" w:noVBand="1"/>
      </w:tblPr>
      <w:tblGrid>
        <w:gridCol w:w="1611"/>
        <w:gridCol w:w="2787"/>
        <w:gridCol w:w="2766"/>
        <w:gridCol w:w="978"/>
        <w:gridCol w:w="2064"/>
      </w:tblGrid>
      <w:tr w:rsidR="00A308CC" w:rsidRPr="00AF5433" w:rsidTr="00AF5433">
        <w:trPr>
          <w:tblHeader/>
          <w:tblCellSpacing w:w="15" w:type="dxa"/>
        </w:trPr>
        <w:tc>
          <w:tcPr>
            <w:tcW w:w="0" w:type="auto"/>
            <w:vAlign w:val="center"/>
            <w:hideMark/>
          </w:tcPr>
          <w:p w:rsidR="00A308CC" w:rsidRPr="00AF5433" w:rsidRDefault="00A308CC" w:rsidP="00A308CC">
            <w:pPr>
              <w:spacing w:line="360" w:lineRule="auto"/>
              <w:jc w:val="both"/>
              <w:rPr>
                <w:b/>
                <w:bCs/>
                <w:sz w:val="28"/>
                <w:szCs w:val="28"/>
              </w:rPr>
            </w:pPr>
            <w:r w:rsidRPr="00AF5433">
              <w:rPr>
                <w:rStyle w:val="fadeinpfttw8"/>
                <w:b/>
                <w:bCs/>
                <w:sz w:val="28"/>
                <w:szCs w:val="28"/>
              </w:rPr>
              <w:t>Subgroup</w:t>
            </w:r>
          </w:p>
        </w:tc>
        <w:tc>
          <w:tcPr>
            <w:tcW w:w="0" w:type="auto"/>
            <w:vAlign w:val="center"/>
            <w:hideMark/>
          </w:tcPr>
          <w:p w:rsidR="00A308CC" w:rsidRPr="00AF5433" w:rsidRDefault="00A308CC" w:rsidP="00A308CC">
            <w:pPr>
              <w:spacing w:line="360" w:lineRule="auto"/>
              <w:jc w:val="both"/>
              <w:rPr>
                <w:b/>
                <w:bCs/>
                <w:sz w:val="28"/>
                <w:szCs w:val="28"/>
              </w:rPr>
            </w:pPr>
            <w:r w:rsidRPr="00AF5433">
              <w:rPr>
                <w:rStyle w:val="fadeinpfttw8"/>
                <w:b/>
                <w:bCs/>
                <w:sz w:val="28"/>
                <w:szCs w:val="28"/>
              </w:rPr>
              <w:t>Baseline Mean MMAS-8</w:t>
            </w:r>
          </w:p>
        </w:tc>
        <w:tc>
          <w:tcPr>
            <w:tcW w:w="0" w:type="auto"/>
            <w:vAlign w:val="center"/>
            <w:hideMark/>
          </w:tcPr>
          <w:p w:rsidR="00A308CC" w:rsidRPr="00AF5433" w:rsidRDefault="00A308CC" w:rsidP="00A308CC">
            <w:pPr>
              <w:spacing w:line="360" w:lineRule="auto"/>
              <w:jc w:val="both"/>
              <w:rPr>
                <w:b/>
                <w:bCs/>
                <w:sz w:val="28"/>
                <w:szCs w:val="28"/>
              </w:rPr>
            </w:pPr>
            <w:r w:rsidRPr="00AF5433">
              <w:rPr>
                <w:rStyle w:val="fadeinpfttw8"/>
                <w:b/>
                <w:bCs/>
                <w:sz w:val="28"/>
                <w:szCs w:val="28"/>
              </w:rPr>
              <w:t>Post-Intervention Mean</w:t>
            </w:r>
          </w:p>
        </w:tc>
        <w:tc>
          <w:tcPr>
            <w:tcW w:w="0" w:type="auto"/>
            <w:vAlign w:val="center"/>
            <w:hideMark/>
          </w:tcPr>
          <w:p w:rsidR="00A308CC" w:rsidRPr="00AF5433" w:rsidRDefault="00A308CC" w:rsidP="00A308CC">
            <w:pPr>
              <w:spacing w:line="360" w:lineRule="auto"/>
              <w:jc w:val="both"/>
              <w:rPr>
                <w:b/>
                <w:bCs/>
                <w:sz w:val="28"/>
                <w:szCs w:val="28"/>
              </w:rPr>
            </w:pPr>
            <w:r w:rsidRPr="00AF5433">
              <w:rPr>
                <w:rStyle w:val="fadeinpfttw8"/>
                <w:b/>
                <w:bCs/>
                <w:sz w:val="28"/>
                <w:szCs w:val="28"/>
              </w:rPr>
              <w:t>Change</w:t>
            </w:r>
          </w:p>
        </w:tc>
        <w:tc>
          <w:tcPr>
            <w:tcW w:w="2019" w:type="dxa"/>
            <w:vAlign w:val="center"/>
            <w:hideMark/>
          </w:tcPr>
          <w:p w:rsidR="00A308CC" w:rsidRPr="00AF5433" w:rsidRDefault="00A308CC" w:rsidP="00A308CC">
            <w:pPr>
              <w:spacing w:line="360" w:lineRule="auto"/>
              <w:jc w:val="both"/>
              <w:rPr>
                <w:b/>
                <w:bCs/>
                <w:sz w:val="28"/>
                <w:szCs w:val="28"/>
              </w:rPr>
            </w:pPr>
            <w:r w:rsidRPr="00AF5433">
              <w:rPr>
                <w:rStyle w:val="fadeinpfttw8"/>
                <w:b/>
                <w:bCs/>
                <w:sz w:val="28"/>
                <w:szCs w:val="28"/>
              </w:rPr>
              <w:t>p-value</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Overall</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5.4 ± 1.2</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7.1 ± 0.9</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+1.7</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&lt;0.001</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Female</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5.5 ± 1.1</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7.3 ± 0.8</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+1.8</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&lt;0.001</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Male</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5.2 ± 1.3</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6.8 ± 0.9</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+1.6</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0.002</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Age 25–44</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5.3 ± 1.3</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7.4 ± 0.8</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+2.1</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&lt;0.001</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UC Diagnosis</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5.6 ± 1.0</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7.3 ± 0.9</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+1.7</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&lt;0.001</w:t>
            </w:r>
          </w:p>
        </w:tc>
      </w:tr>
      <w:tr w:rsidR="00A308CC" w:rsidRPr="00AF5433" w:rsidTr="00AF5433">
        <w:trPr>
          <w:tblCellSpacing w:w="15" w:type="dxa"/>
        </w:trPr>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CD Diagnosis</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5.1 ± 1.4</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6.9 ± 1.0</w:t>
            </w:r>
          </w:p>
        </w:tc>
        <w:tc>
          <w:tcPr>
            <w:tcW w:w="0" w:type="auto"/>
            <w:vAlign w:val="center"/>
            <w:hideMark/>
          </w:tcPr>
          <w:p w:rsidR="00A308CC" w:rsidRPr="00AF5433" w:rsidRDefault="00A308CC" w:rsidP="00A308CC">
            <w:pPr>
              <w:spacing w:line="360" w:lineRule="auto"/>
              <w:jc w:val="both"/>
              <w:rPr>
                <w:sz w:val="28"/>
                <w:szCs w:val="28"/>
              </w:rPr>
            </w:pPr>
            <w:r w:rsidRPr="00AF5433">
              <w:rPr>
                <w:rStyle w:val="fadeinpfttw8"/>
                <w:sz w:val="28"/>
                <w:szCs w:val="28"/>
              </w:rPr>
              <w:t>+1.8</w:t>
            </w:r>
          </w:p>
        </w:tc>
        <w:tc>
          <w:tcPr>
            <w:tcW w:w="2019" w:type="dxa"/>
            <w:vAlign w:val="center"/>
            <w:hideMark/>
          </w:tcPr>
          <w:p w:rsidR="00A308CC" w:rsidRPr="00AF5433" w:rsidRDefault="00A308CC" w:rsidP="00A308CC">
            <w:pPr>
              <w:spacing w:line="360" w:lineRule="auto"/>
              <w:jc w:val="both"/>
              <w:rPr>
                <w:sz w:val="28"/>
                <w:szCs w:val="28"/>
              </w:rPr>
            </w:pPr>
            <w:r w:rsidRPr="00AF5433">
              <w:rPr>
                <w:rStyle w:val="fadeinpfttw8"/>
                <w:sz w:val="28"/>
                <w:szCs w:val="28"/>
              </w:rPr>
              <w:t>&lt;0.001</w:t>
            </w:r>
          </w:p>
        </w:tc>
      </w:tr>
    </w:tbl>
    <w:p w:rsidR="00A308CC" w:rsidRPr="00A308CC" w:rsidRDefault="00A308CC" w:rsidP="00A308CC">
      <w:pPr>
        <w:pStyle w:val="4"/>
        <w:spacing w:line="360" w:lineRule="auto"/>
        <w:jc w:val="both"/>
        <w:rPr>
          <w:sz w:val="28"/>
          <w:szCs w:val="28"/>
        </w:rPr>
      </w:pPr>
      <w:r w:rsidRPr="00A308CC">
        <w:rPr>
          <w:rStyle w:val="fadeinpfttw8"/>
          <w:sz w:val="28"/>
          <w:szCs w:val="28"/>
        </w:rPr>
        <w:lastRenderedPageBreak/>
        <w:t>Visualization of Adherence Improvement</w:t>
      </w:r>
    </w:p>
    <w:p w:rsidR="00A308CC" w:rsidRPr="00A308CC" w:rsidRDefault="00A308CC" w:rsidP="00A308CC">
      <w:pPr>
        <w:pStyle w:val="a4"/>
        <w:spacing w:line="360" w:lineRule="auto"/>
        <w:jc w:val="both"/>
        <w:rPr>
          <w:sz w:val="28"/>
          <w:szCs w:val="28"/>
        </w:rPr>
      </w:pPr>
      <w:r w:rsidRPr="00A308CC">
        <w:rPr>
          <w:rStyle w:val="fadeinpfttw8"/>
          <w:sz w:val="28"/>
          <w:szCs w:val="28"/>
        </w:rPr>
        <w:t>The following figure demonstrates the shift in adherence levels before and after the intervention:</w:t>
      </w:r>
      <w:r w:rsidRPr="00A308CC">
        <w:rPr>
          <w:sz w:val="28"/>
          <w:szCs w:val="28"/>
        </w:rPr>
        <w:t xml:space="preserve"> </w:t>
      </w:r>
    </w:p>
    <w:p w:rsidR="00A308CC" w:rsidRPr="00A308CC" w:rsidRDefault="00A308CC" w:rsidP="00A308CC">
      <w:pPr>
        <w:pStyle w:val="a4"/>
        <w:spacing w:line="360" w:lineRule="auto"/>
        <w:jc w:val="both"/>
        <w:rPr>
          <w:sz w:val="28"/>
          <w:szCs w:val="28"/>
        </w:rPr>
      </w:pPr>
      <w:r w:rsidRPr="00A308CC">
        <w:rPr>
          <w:sz w:val="28"/>
          <w:szCs w:val="28"/>
        </w:rPr>
        <w:fldChar w:fldCharType="begin"/>
      </w:r>
      <w:r w:rsidRPr="00A308CC">
        <w:rPr>
          <w:sz w:val="28"/>
          <w:szCs w:val="28"/>
        </w:rPr>
        <w:instrText xml:space="preserve"> INCLUDEPICTURE "https://files.oaiusercontent.com/file-54uN9iBQQCwMRPbEGqHZuk?se=2025-05-06T12%3A46%3A02Z&amp;sp=r&amp;sv=2024-08-04&amp;sr=b&amp;rscc=max-age%3D299%2C%20immutable%2C%20private&amp;rscd=attachment%3B%20filename%3Dd2eacc66-1017-42cb-890e-9c0522bfe864&amp;sig=BrKP%2BKeRgKAi638nbqV62cohIP3BuRn33Ln1tUSixig%3D" \* MERGEFORMATINET </w:instrText>
      </w:r>
      <w:r w:rsidRPr="00A308CC">
        <w:rPr>
          <w:sz w:val="28"/>
          <w:szCs w:val="28"/>
        </w:rPr>
        <w:fldChar w:fldCharType="separate"/>
      </w:r>
      <w:r w:rsidRPr="00A308CC">
        <w:rPr>
          <w:noProof/>
          <w:sz w:val="28"/>
          <w:szCs w:val="28"/>
          <w:lang w:val="uk-UA" w:eastAsia="uk-UA"/>
        </w:rPr>
        <w:drawing>
          <wp:inline distT="0" distB="0" distL="0" distR="0">
            <wp:extent cx="6480175" cy="4806950"/>
            <wp:effectExtent l="0" t="0" r="0" b="6350"/>
            <wp:docPr id="14510294" name="Рисунок 5"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Вивести зображення"/>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80175" cy="4806950"/>
                    </a:xfrm>
                    <a:prstGeom prst="rect">
                      <a:avLst/>
                    </a:prstGeom>
                    <a:noFill/>
                    <a:ln>
                      <a:noFill/>
                    </a:ln>
                  </pic:spPr>
                </pic:pic>
              </a:graphicData>
            </a:graphic>
          </wp:inline>
        </w:drawing>
      </w:r>
      <w:r w:rsidRPr="00A308CC">
        <w:rPr>
          <w:sz w:val="28"/>
          <w:szCs w:val="28"/>
        </w:rPr>
        <w:fldChar w:fldCharType="end"/>
      </w:r>
    </w:p>
    <w:p w:rsidR="00A308CC" w:rsidRPr="00A308CC" w:rsidRDefault="00A308CC" w:rsidP="00A308CC">
      <w:pPr>
        <w:pStyle w:val="a4"/>
        <w:spacing w:line="360" w:lineRule="auto"/>
        <w:rPr>
          <w:sz w:val="28"/>
          <w:szCs w:val="28"/>
        </w:rPr>
      </w:pPr>
      <w:r w:rsidRPr="00A308CC">
        <w:rPr>
          <w:rStyle w:val="fadeinpfttw8"/>
          <w:rFonts w:ascii="Apple Color Emoji" w:hAnsi="Apple Color Emoji" w:cs="Apple Color Emoji"/>
          <w:sz w:val="28"/>
          <w:szCs w:val="28"/>
        </w:rPr>
        <w:t>🟠</w:t>
      </w:r>
      <w:r w:rsidRPr="00A308CC">
        <w:rPr>
          <w:rStyle w:val="fadeinpfttw8"/>
          <w:sz w:val="28"/>
          <w:szCs w:val="28"/>
        </w:rPr>
        <w:t xml:space="preserve"> Low Adherence ↓</w:t>
      </w:r>
      <w:r w:rsidRPr="00A308CC">
        <w:rPr>
          <w:sz w:val="28"/>
          <w:szCs w:val="28"/>
        </w:rPr>
        <w:br/>
      </w:r>
      <w:r w:rsidRPr="00A308CC">
        <w:rPr>
          <w:rStyle w:val="fadeinpfttw8"/>
          <w:rFonts w:ascii="Apple Color Emoji" w:hAnsi="Apple Color Emoji" w:cs="Apple Color Emoji"/>
          <w:sz w:val="28"/>
          <w:szCs w:val="28"/>
        </w:rPr>
        <w:t>🟡</w:t>
      </w:r>
      <w:r w:rsidRPr="00A308CC">
        <w:rPr>
          <w:rStyle w:val="fadeinpfttw8"/>
          <w:sz w:val="28"/>
          <w:szCs w:val="28"/>
        </w:rPr>
        <w:t xml:space="preserve"> Moderate Adherence →</w:t>
      </w:r>
      <w:r w:rsidRPr="00A308CC">
        <w:rPr>
          <w:sz w:val="28"/>
          <w:szCs w:val="28"/>
        </w:rPr>
        <w:br/>
      </w:r>
      <w:r w:rsidRPr="00A308CC">
        <w:rPr>
          <w:rStyle w:val="fadeinpfttw8"/>
          <w:rFonts w:ascii="Apple Color Emoji" w:hAnsi="Apple Color Emoji" w:cs="Apple Color Emoji"/>
          <w:sz w:val="28"/>
          <w:szCs w:val="28"/>
        </w:rPr>
        <w:t>🟢</w:t>
      </w:r>
      <w:r w:rsidRPr="00A308CC">
        <w:rPr>
          <w:rStyle w:val="fadeinpfttw8"/>
          <w:sz w:val="28"/>
          <w:szCs w:val="28"/>
        </w:rPr>
        <w:t xml:space="preserve"> High Adherence ↑</w:t>
      </w:r>
    </w:p>
    <w:p w:rsidR="00A308CC" w:rsidRPr="00A308CC" w:rsidRDefault="00A308CC" w:rsidP="00A308CC">
      <w:pPr>
        <w:pStyle w:val="4"/>
        <w:spacing w:line="360" w:lineRule="auto"/>
        <w:jc w:val="both"/>
        <w:rPr>
          <w:sz w:val="28"/>
          <w:szCs w:val="28"/>
        </w:rPr>
      </w:pPr>
      <w:r w:rsidRPr="00A308CC">
        <w:rPr>
          <w:rStyle w:val="fadeinpfttw8"/>
          <w:sz w:val="28"/>
          <w:szCs w:val="28"/>
        </w:rPr>
        <w:t>Interpretation of Findings</w:t>
      </w:r>
    </w:p>
    <w:p w:rsidR="00A308CC" w:rsidRPr="00A308CC" w:rsidRDefault="00A308CC" w:rsidP="00A308CC">
      <w:pPr>
        <w:pStyle w:val="a4"/>
        <w:spacing w:line="360" w:lineRule="auto"/>
        <w:jc w:val="both"/>
        <w:rPr>
          <w:sz w:val="28"/>
          <w:szCs w:val="28"/>
        </w:rPr>
      </w:pPr>
      <w:r w:rsidRPr="00A308CC">
        <w:rPr>
          <w:rStyle w:val="fadeinpfttw8"/>
          <w:sz w:val="28"/>
          <w:szCs w:val="28"/>
        </w:rPr>
        <w:t xml:space="preserve">The results clearly demonstrate that the educational intervention led to a </w:t>
      </w:r>
      <w:r w:rsidRPr="00A308CC">
        <w:rPr>
          <w:rStyle w:val="fadeinpfttw8"/>
          <w:b/>
          <w:bCs/>
          <w:sz w:val="28"/>
          <w:szCs w:val="28"/>
        </w:rPr>
        <w:t>statistically significant and clinically meaningful improvement in adherence</w:t>
      </w:r>
      <w:r w:rsidRPr="00A308CC">
        <w:rPr>
          <w:rStyle w:val="fadeinpfttw8"/>
          <w:sz w:val="28"/>
          <w:szCs w:val="28"/>
        </w:rPr>
        <w:t>. The strongest effects were observed among those with the lowest initial scores, indicating that structured nursing support is particularly beneficial for patients at risk of non-compliance.</w:t>
      </w:r>
    </w:p>
    <w:p w:rsidR="00A308CC" w:rsidRPr="00A308CC" w:rsidRDefault="00A308CC" w:rsidP="00A308CC">
      <w:pPr>
        <w:pStyle w:val="a4"/>
        <w:spacing w:line="360" w:lineRule="auto"/>
        <w:jc w:val="both"/>
        <w:rPr>
          <w:sz w:val="28"/>
          <w:szCs w:val="28"/>
        </w:rPr>
      </w:pPr>
      <w:r w:rsidRPr="00A308CC">
        <w:rPr>
          <w:rStyle w:val="fadeinpfttw8"/>
          <w:sz w:val="28"/>
          <w:szCs w:val="28"/>
        </w:rPr>
        <w:lastRenderedPageBreak/>
        <w:t>These findings affirm the hypothesis that nurse-led education enhances treatment adherence by increasing disease understanding, reducing emotional resistance, and strengthening provider-patient relationships. It also highlights the importance of continuity of care and repeated patient engagement rather than one-time counseling.</w:t>
      </w:r>
    </w:p>
    <w:p w:rsidR="00BF504D" w:rsidRPr="00BF504D" w:rsidRDefault="00BF504D" w:rsidP="00BF504D">
      <w:pPr>
        <w:spacing w:before="100" w:beforeAutospacing="1" w:after="100" w:afterAutospacing="1" w:line="360" w:lineRule="auto"/>
        <w:jc w:val="both"/>
        <w:outlineLvl w:val="2"/>
        <w:rPr>
          <w:b/>
          <w:bCs/>
          <w:sz w:val="28"/>
          <w:szCs w:val="28"/>
        </w:rPr>
      </w:pPr>
      <w:r w:rsidRPr="00BF504D">
        <w:rPr>
          <w:b/>
          <w:bCs/>
          <w:sz w:val="28"/>
          <w:szCs w:val="28"/>
        </w:rPr>
        <w:t>2.4. Factors Affecting Adherence in IBD Patients</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Medication adherence in inflammatory bowel disease (IBD) is a multifactorial process shaped by clinical, psychological, social, behavioral, and systemic influences. Understanding these factors is critical not only for interpreting individual adherence patterns but also for designing effective educational and nursing interventions. This section explores the major determinants of adherence as identified in current literature and contextualizes them within the results of the present study.</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1. Psychological Factors</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Emotional distress, anxiety, and depression are common comorbidities among patients with IBD and have been consistently associated with decreased adherence to treatment regimens [58]. The chronic and unpredictable nature of the disease, along with social stigma and fear of complications, contributes to psychological burden. In our cohort, patients who reported symptoms of emotional exhaustion or persistent stress were more likely to fall into the low adherence category.</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Lack of motivation, treatment fatigue, and denial of illness are also psychological barriers. These were particularly noted in patients newly diagnosed or overwhelmed by the concept of lifelong treatment. Nursing education helped reduce some of these anxieties by fostering a clearer understanding of disease control and providing emotional reassurance.</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2. Knowledge and Health Literacy</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 xml:space="preserve">Low health literacy and insufficient disease knowledge are among the most modifiable barriers to adherence. Patients who do not understand the role of their medication, the importance of continuity, or the signs of disease progression are more likely </w:t>
      </w:r>
      <w:r w:rsidRPr="00BF504D">
        <w:rPr>
          <w:sz w:val="28"/>
          <w:szCs w:val="28"/>
        </w:rPr>
        <w:lastRenderedPageBreak/>
        <w:t>to alter or discontinue therapy [59]. Our data showed that baseline knowledge scores were significantly lower among patients with poor adherence.</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Educational interventions resulted in a 42% increase in mean knowledge scores, with a strong correlation between improved understanding and improved MMAS-8 scores post-intervention. This reinforces findings from prior studies which argue that improved disease literacy enhances patient autonomy and engagement [60].</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3. Treatment-Related Factors</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The complexity of treatment regimens—number of medications, dosing frequency, route of administration—and perceived side effects have a direct impact on adherence. In our sample, patients receiving biologics via intravenous infusion reported higher adherence than those on oral mesalamine regimens, possibly due to the structured nature of infusion appointments and more intensive follow-up.</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Fear of side effects and past negative experiences (e.g., steroid dependency, gastrointestinal discomfort) were commonly cited reasons for intentional non-adherence. These findings align with a systematic review by Jackson et al. (2015), which showed that medication aversion significantly impairs adherence in IBD patients [61].</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4. Patient-Provider Communication</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A trusting and communicative relationship with healthcare providers has a well-documented positive effect on adherence. Nurses in particular are uniquely positioned to build rapport with patients and provide continuous support. Patients in our study frequently mentioned that the nurse-led sessions made them feel "heard" and more confident in following their treatment plan.</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According to a cross-sectional analysis by Nguyen et al. (2020), patients who perceive their providers as empathetic and informative demonstrate 2–3 times higher adherence rates [62]. Our findings support this, as satisfaction with the educational intervention was strongly associated with positive shifts in adherence category.</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lastRenderedPageBreak/>
        <w:t>5. Sociodemographic and Lifestyle Factors</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Sociodemographic variables such as age, gender, education level, and employment status were found to moderately affect adherence. Younger patients (under 30) exhibited greater variability in adherence patterns, possibly due to competing lifestyle priorities or lower perceived disease severity. Patients with higher educational levels were more likely to ask questions and express proactive attitudes toward learning, suggesting a facilitating role for education.</w:t>
      </w:r>
    </w:p>
    <w:p w:rsidR="00BF504D" w:rsidRPr="00BF504D" w:rsidRDefault="00BF504D" w:rsidP="00BF504D">
      <w:pPr>
        <w:spacing w:before="100" w:beforeAutospacing="1" w:after="100" w:afterAutospacing="1" w:line="360" w:lineRule="auto"/>
        <w:jc w:val="both"/>
        <w:rPr>
          <w:sz w:val="28"/>
          <w:szCs w:val="28"/>
        </w:rPr>
      </w:pPr>
      <w:r w:rsidRPr="00BF504D">
        <w:rPr>
          <w:sz w:val="28"/>
          <w:szCs w:val="28"/>
        </w:rPr>
        <w:t>Other lifestyle-related factors included:</w:t>
      </w:r>
    </w:p>
    <w:p w:rsidR="00BF504D" w:rsidRPr="00BF504D" w:rsidRDefault="00BF504D" w:rsidP="0017650E">
      <w:pPr>
        <w:numPr>
          <w:ilvl w:val="0"/>
          <w:numId w:val="17"/>
        </w:numPr>
        <w:spacing w:before="100" w:beforeAutospacing="1" w:after="100" w:afterAutospacing="1" w:line="360" w:lineRule="auto"/>
        <w:jc w:val="both"/>
        <w:rPr>
          <w:sz w:val="28"/>
          <w:szCs w:val="28"/>
        </w:rPr>
      </w:pPr>
      <w:r w:rsidRPr="00BF504D">
        <w:rPr>
          <w:b/>
          <w:bCs/>
          <w:sz w:val="28"/>
          <w:szCs w:val="28"/>
        </w:rPr>
        <w:t>Busy work schedules</w:t>
      </w:r>
      <w:r w:rsidRPr="00BF504D">
        <w:rPr>
          <w:sz w:val="28"/>
          <w:szCs w:val="28"/>
        </w:rPr>
        <w:t xml:space="preserve"> and </w:t>
      </w:r>
      <w:r w:rsidRPr="00BF504D">
        <w:rPr>
          <w:b/>
          <w:bCs/>
          <w:sz w:val="28"/>
          <w:szCs w:val="28"/>
        </w:rPr>
        <w:t>caregiving responsibilities</w:t>
      </w:r>
      <w:r w:rsidRPr="00BF504D">
        <w:rPr>
          <w:sz w:val="28"/>
          <w:szCs w:val="28"/>
        </w:rPr>
        <w:t>, limiting time for medication and clinic visits.</w:t>
      </w:r>
    </w:p>
    <w:p w:rsidR="00BF504D" w:rsidRPr="00BF504D" w:rsidRDefault="00BF504D" w:rsidP="0017650E">
      <w:pPr>
        <w:numPr>
          <w:ilvl w:val="0"/>
          <w:numId w:val="17"/>
        </w:numPr>
        <w:spacing w:before="100" w:beforeAutospacing="1" w:after="100" w:afterAutospacing="1" w:line="360" w:lineRule="auto"/>
        <w:jc w:val="both"/>
        <w:rPr>
          <w:sz w:val="28"/>
          <w:szCs w:val="28"/>
        </w:rPr>
      </w:pPr>
      <w:r w:rsidRPr="00BF504D">
        <w:rPr>
          <w:b/>
          <w:bCs/>
          <w:sz w:val="28"/>
          <w:szCs w:val="28"/>
        </w:rPr>
        <w:t>Financial constraints</w:t>
      </w:r>
      <w:r w:rsidRPr="00BF504D">
        <w:rPr>
          <w:sz w:val="28"/>
          <w:szCs w:val="28"/>
        </w:rPr>
        <w:t>, especially in accessing non-covered medications.</w:t>
      </w:r>
    </w:p>
    <w:p w:rsidR="00BF504D" w:rsidRPr="00BF504D" w:rsidRDefault="00BF504D" w:rsidP="0017650E">
      <w:pPr>
        <w:numPr>
          <w:ilvl w:val="0"/>
          <w:numId w:val="17"/>
        </w:numPr>
        <w:spacing w:before="100" w:beforeAutospacing="1" w:after="100" w:afterAutospacing="1" w:line="360" w:lineRule="auto"/>
        <w:jc w:val="both"/>
        <w:rPr>
          <w:sz w:val="28"/>
          <w:szCs w:val="28"/>
        </w:rPr>
      </w:pPr>
      <w:r w:rsidRPr="00BF504D">
        <w:rPr>
          <w:b/>
          <w:bCs/>
          <w:sz w:val="28"/>
          <w:szCs w:val="28"/>
        </w:rPr>
        <w:t>Social support systems</w:t>
      </w:r>
      <w:r w:rsidRPr="00BF504D">
        <w:rPr>
          <w:sz w:val="28"/>
          <w:szCs w:val="28"/>
        </w:rPr>
        <w:t>, where family involvement was found to improve treatment motivation.</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6. Summary of Key Factors</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The following table summarizes the main factors influencing adherence in our cohort, based on post-intervention feedback and statistical analysis: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98"/>
        <w:gridCol w:w="4406"/>
        <w:gridCol w:w="2991"/>
      </w:tblGrid>
      <w:tr w:rsidR="00BF504D" w:rsidRPr="00BF504D" w:rsidTr="00BF504D">
        <w:trPr>
          <w:tblHeader/>
          <w:tblCellSpacing w:w="15" w:type="dxa"/>
        </w:trPr>
        <w:tc>
          <w:tcPr>
            <w:tcW w:w="0" w:type="auto"/>
            <w:vAlign w:val="center"/>
            <w:hideMark/>
          </w:tcPr>
          <w:p w:rsidR="00BF504D" w:rsidRPr="00BF504D" w:rsidRDefault="00BF504D" w:rsidP="00BF504D">
            <w:pPr>
              <w:spacing w:line="360" w:lineRule="auto"/>
              <w:jc w:val="both"/>
              <w:rPr>
                <w:b/>
                <w:bCs/>
                <w:sz w:val="28"/>
                <w:szCs w:val="28"/>
              </w:rPr>
            </w:pPr>
            <w:r w:rsidRPr="00BF504D">
              <w:rPr>
                <w:b/>
                <w:bCs/>
                <w:sz w:val="28"/>
                <w:szCs w:val="28"/>
              </w:rPr>
              <w:t>Factor Category</w:t>
            </w:r>
          </w:p>
        </w:tc>
        <w:tc>
          <w:tcPr>
            <w:tcW w:w="0" w:type="auto"/>
            <w:vAlign w:val="center"/>
            <w:hideMark/>
          </w:tcPr>
          <w:p w:rsidR="00BF504D" w:rsidRPr="00BF504D" w:rsidRDefault="00BF504D" w:rsidP="00BF504D">
            <w:pPr>
              <w:spacing w:line="360" w:lineRule="auto"/>
              <w:jc w:val="both"/>
              <w:rPr>
                <w:b/>
                <w:bCs/>
                <w:sz w:val="28"/>
                <w:szCs w:val="28"/>
              </w:rPr>
            </w:pPr>
            <w:r w:rsidRPr="00BF504D">
              <w:rPr>
                <w:b/>
                <w:bCs/>
                <w:sz w:val="28"/>
                <w:szCs w:val="28"/>
              </w:rPr>
              <w:t>Specific Elements Identified</w:t>
            </w:r>
          </w:p>
        </w:tc>
        <w:tc>
          <w:tcPr>
            <w:tcW w:w="0" w:type="auto"/>
            <w:vAlign w:val="center"/>
            <w:hideMark/>
          </w:tcPr>
          <w:p w:rsidR="00BF504D" w:rsidRPr="00BF504D" w:rsidRDefault="00BF504D" w:rsidP="00BF504D">
            <w:pPr>
              <w:spacing w:line="360" w:lineRule="auto"/>
              <w:jc w:val="both"/>
              <w:rPr>
                <w:b/>
                <w:bCs/>
                <w:sz w:val="28"/>
                <w:szCs w:val="28"/>
              </w:rPr>
            </w:pPr>
            <w:r w:rsidRPr="00BF504D">
              <w:rPr>
                <w:b/>
                <w:bCs/>
                <w:sz w:val="28"/>
                <w:szCs w:val="28"/>
              </w:rPr>
              <w:t>Association with Adherence</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Psychological</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Anxiety, denial, treatment fatigue</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Negative</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Knowledge</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Low baseline understanding, improved post-education</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Strongly positive post-intervention</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Treatment complexity</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Multiple medications, fear of side effects</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Negative</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Nurse-patient communication</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Perceived empathy, trust, continuity</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Positive</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lastRenderedPageBreak/>
              <w:t>Demographics</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Age &lt; 30, low education level</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Mixed</w:t>
            </w:r>
          </w:p>
        </w:tc>
      </w:tr>
      <w:tr w:rsidR="00BF504D" w:rsidRPr="00BF504D" w:rsidTr="00BF504D">
        <w:trPr>
          <w:tblCellSpacing w:w="15" w:type="dxa"/>
        </w:trPr>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Social context</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Supportive family, stable routines</w:t>
            </w:r>
          </w:p>
        </w:tc>
        <w:tc>
          <w:tcPr>
            <w:tcW w:w="0" w:type="auto"/>
            <w:vAlign w:val="center"/>
            <w:hideMark/>
          </w:tcPr>
          <w:p w:rsidR="00BF504D" w:rsidRPr="00BF504D" w:rsidRDefault="00BF504D" w:rsidP="00BF504D">
            <w:pPr>
              <w:spacing w:line="360" w:lineRule="auto"/>
              <w:jc w:val="both"/>
              <w:rPr>
                <w:sz w:val="28"/>
                <w:szCs w:val="28"/>
              </w:rPr>
            </w:pPr>
            <w:r w:rsidRPr="00BF504D">
              <w:rPr>
                <w:sz w:val="28"/>
                <w:szCs w:val="28"/>
              </w:rPr>
              <w:t>Positive</w:t>
            </w:r>
          </w:p>
        </w:tc>
      </w:tr>
    </w:tbl>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These factors are not independent; they often interact in complex ways. For example, low health literacy may amplify anxiety, while strong communication can mitigate concerns about side effects.</w:t>
      </w:r>
    </w:p>
    <w:p w:rsidR="00BF504D" w:rsidRPr="00BF504D" w:rsidRDefault="00BF504D" w:rsidP="00BF504D">
      <w:pPr>
        <w:spacing w:before="100" w:beforeAutospacing="1" w:after="100" w:afterAutospacing="1" w:line="360" w:lineRule="auto"/>
        <w:jc w:val="both"/>
        <w:outlineLvl w:val="3"/>
        <w:rPr>
          <w:b/>
          <w:bCs/>
          <w:sz w:val="28"/>
          <w:szCs w:val="28"/>
        </w:rPr>
      </w:pPr>
      <w:r w:rsidRPr="00BF504D">
        <w:rPr>
          <w:b/>
          <w:bCs/>
          <w:sz w:val="28"/>
          <w:szCs w:val="28"/>
        </w:rPr>
        <w:t>Implications for Nursing Practice</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Understanding these factors allows nurses to deliver more targeted, personalized care. Assessing each patient’s barriers and facilitators to adherence at the outset of care planning enables proactive intervention. For instance, a patient with high anxiety but strong family support may benefit more from motivational coaching, while one with low health literacy may require simplified visual materials and repeated instruction.</w:t>
      </w:r>
    </w:p>
    <w:p w:rsidR="00BF504D" w:rsidRPr="00BF504D" w:rsidRDefault="00BF504D" w:rsidP="00BF504D">
      <w:pPr>
        <w:spacing w:before="100" w:beforeAutospacing="1" w:after="100" w:afterAutospacing="1" w:line="360" w:lineRule="auto"/>
        <w:ind w:firstLine="708"/>
        <w:jc w:val="both"/>
        <w:rPr>
          <w:sz w:val="28"/>
          <w:szCs w:val="28"/>
        </w:rPr>
      </w:pPr>
      <w:r w:rsidRPr="00BF504D">
        <w:rPr>
          <w:sz w:val="28"/>
          <w:szCs w:val="28"/>
        </w:rPr>
        <w:t>Our findings suggest that when nurses are actively involved in continuous education, monitoring, and dialogue, they can significantly reduce the negative impact of these barriers and promote sustainable adherence behaviors.</w:t>
      </w:r>
    </w:p>
    <w:p w:rsidR="00FE6908" w:rsidRPr="00FE6908" w:rsidRDefault="00FE6908" w:rsidP="00FE6908">
      <w:pPr>
        <w:pStyle w:val="3"/>
        <w:spacing w:line="360" w:lineRule="auto"/>
        <w:rPr>
          <w:sz w:val="28"/>
          <w:szCs w:val="28"/>
        </w:rPr>
      </w:pPr>
      <w:r w:rsidRPr="00FE6908">
        <w:rPr>
          <w:rStyle w:val="fadeinpfttw8"/>
          <w:sz w:val="28"/>
          <w:szCs w:val="28"/>
        </w:rPr>
        <w:t>2.5. Qualitative Feedback and Patient Reflections</w:t>
      </w:r>
    </w:p>
    <w:p w:rsidR="00FE6908" w:rsidRPr="00FE6908" w:rsidRDefault="00FE6908" w:rsidP="008E623F">
      <w:pPr>
        <w:pStyle w:val="a4"/>
        <w:spacing w:line="360" w:lineRule="auto"/>
        <w:ind w:firstLine="708"/>
        <w:jc w:val="both"/>
        <w:rPr>
          <w:sz w:val="28"/>
          <w:szCs w:val="28"/>
        </w:rPr>
      </w:pPr>
      <w:r w:rsidRPr="00FE6908">
        <w:rPr>
          <w:rStyle w:val="fadeinpfttw8"/>
          <w:sz w:val="28"/>
          <w:szCs w:val="28"/>
        </w:rPr>
        <w:t>In addition to quantitative data, qualitative insights were collected to explore the subjective experiences of patients who participated in the nurse-led educational intervention. Semi-structured interviews were conducted with a subset of 20 participants (selected via stratified sampling to ensure variation in age, gender, diagnosis, and baseline adherence level). The interviews, held post-intervention, aimed to assess patient perceptions of the education received, its practical impact, and remaining challenges in managing inflammatory bowel disease (IBD).</w:t>
      </w:r>
    </w:p>
    <w:p w:rsidR="00FE6908" w:rsidRPr="00FE6908" w:rsidRDefault="00FE6908" w:rsidP="008E623F">
      <w:pPr>
        <w:pStyle w:val="a4"/>
        <w:spacing w:line="360" w:lineRule="auto"/>
        <w:ind w:firstLine="708"/>
        <w:rPr>
          <w:sz w:val="28"/>
          <w:szCs w:val="28"/>
        </w:rPr>
      </w:pPr>
      <w:r w:rsidRPr="00FE6908">
        <w:rPr>
          <w:rStyle w:val="fadeinpfttw8"/>
          <w:sz w:val="28"/>
          <w:szCs w:val="28"/>
        </w:rPr>
        <w:lastRenderedPageBreak/>
        <w:t xml:space="preserve">Transcripts were analyzed using the </w:t>
      </w:r>
      <w:r w:rsidRPr="00FE6908">
        <w:rPr>
          <w:rStyle w:val="fadeinpfttw8"/>
          <w:b/>
          <w:bCs/>
          <w:sz w:val="28"/>
          <w:szCs w:val="28"/>
        </w:rPr>
        <w:t>thematic analysis method</w:t>
      </w:r>
      <w:r w:rsidRPr="00FE6908">
        <w:rPr>
          <w:rStyle w:val="fadeinpfttw8"/>
          <w:sz w:val="28"/>
          <w:szCs w:val="28"/>
        </w:rPr>
        <w:t xml:space="preserve"> proposed by Braun and Clarke (2006), which involves identifying, analyzing, and reporting recurring patterns or themes within qualitative data. Six dominant themes were identified:</w:t>
      </w:r>
    </w:p>
    <w:p w:rsidR="00FE6908" w:rsidRPr="00FE6908" w:rsidRDefault="00FE6908" w:rsidP="00FE6908">
      <w:pPr>
        <w:pStyle w:val="4"/>
        <w:spacing w:line="360" w:lineRule="auto"/>
        <w:rPr>
          <w:sz w:val="28"/>
          <w:szCs w:val="28"/>
        </w:rPr>
      </w:pPr>
      <w:r w:rsidRPr="00FE6908">
        <w:rPr>
          <w:rStyle w:val="fadeinpfttw8"/>
          <w:sz w:val="28"/>
          <w:szCs w:val="28"/>
        </w:rPr>
        <w:t>Theme 1: Increased Understanding and Control</w:t>
      </w:r>
    </w:p>
    <w:p w:rsidR="00FE6908" w:rsidRPr="00FE6908" w:rsidRDefault="00FE6908" w:rsidP="008E623F">
      <w:pPr>
        <w:pStyle w:val="a4"/>
        <w:spacing w:line="360" w:lineRule="auto"/>
        <w:ind w:firstLine="708"/>
        <w:rPr>
          <w:sz w:val="28"/>
          <w:szCs w:val="28"/>
        </w:rPr>
      </w:pPr>
      <w:r w:rsidRPr="00FE6908">
        <w:rPr>
          <w:rStyle w:val="fadeinpfttw8"/>
          <w:sz w:val="28"/>
          <w:szCs w:val="28"/>
        </w:rPr>
        <w:t>Patients frequently reported that the educational sessions helped them gain a clearer understanding of their disease, treatment goals, and day-to-day management. This knowledge appeared to reduce anxiety and instill a sense of control over their health condition.</w:t>
      </w:r>
    </w:p>
    <w:p w:rsidR="00FE6908" w:rsidRPr="00FE6908" w:rsidRDefault="00FE6908" w:rsidP="00FE6908">
      <w:pPr>
        <w:pStyle w:val="a4"/>
        <w:spacing w:line="360" w:lineRule="auto"/>
        <w:rPr>
          <w:sz w:val="28"/>
          <w:szCs w:val="28"/>
        </w:rPr>
      </w:pPr>
      <w:r w:rsidRPr="00FE6908">
        <w:rPr>
          <w:rStyle w:val="fadeinpfttw8"/>
          <w:sz w:val="28"/>
          <w:szCs w:val="28"/>
        </w:rPr>
        <w:t>“Before the sessions, I was scared of the medicines. I thought they were harming me. Now I understand why they’re needed, and I feel calmer when taking them.”</w:t>
      </w:r>
      <w:r w:rsidRPr="00FE6908">
        <w:rPr>
          <w:sz w:val="28"/>
          <w:szCs w:val="28"/>
        </w:rPr>
        <w:br/>
      </w:r>
      <w:r w:rsidRPr="00FE6908">
        <w:rPr>
          <w:rStyle w:val="fadeinpfttw8"/>
          <w:i/>
          <w:iCs/>
          <w:sz w:val="28"/>
          <w:szCs w:val="28"/>
        </w:rPr>
        <w:t>(Participant 4, female, 29 years old)</w:t>
      </w:r>
    </w:p>
    <w:p w:rsidR="00FE6908" w:rsidRPr="00FE6908" w:rsidRDefault="00FE6908" w:rsidP="00FE6908">
      <w:pPr>
        <w:pStyle w:val="a4"/>
        <w:spacing w:line="360" w:lineRule="auto"/>
        <w:rPr>
          <w:sz w:val="28"/>
          <w:szCs w:val="28"/>
        </w:rPr>
      </w:pPr>
      <w:r w:rsidRPr="00FE6908">
        <w:rPr>
          <w:rStyle w:val="fadeinpfttw8"/>
          <w:sz w:val="28"/>
          <w:szCs w:val="28"/>
        </w:rPr>
        <w:t>“The nurse explained everything in a way that made sense. I now know what signs to watch for and when to contact the doctor.”</w:t>
      </w:r>
      <w:r w:rsidRPr="00FE6908">
        <w:rPr>
          <w:sz w:val="28"/>
          <w:szCs w:val="28"/>
        </w:rPr>
        <w:br/>
      </w:r>
      <w:r w:rsidRPr="00FE6908">
        <w:rPr>
          <w:rStyle w:val="fadeinpfttw8"/>
          <w:i/>
          <w:iCs/>
          <w:sz w:val="28"/>
          <w:szCs w:val="28"/>
        </w:rPr>
        <w:t>(Participant 11, male, 42 years old)</w:t>
      </w:r>
    </w:p>
    <w:p w:rsidR="00FE6908" w:rsidRPr="00FE6908" w:rsidRDefault="00FE6908" w:rsidP="00FE6908">
      <w:pPr>
        <w:pStyle w:val="4"/>
        <w:spacing w:line="360" w:lineRule="auto"/>
        <w:rPr>
          <w:sz w:val="28"/>
          <w:szCs w:val="28"/>
        </w:rPr>
      </w:pPr>
      <w:r w:rsidRPr="00FE6908">
        <w:rPr>
          <w:rStyle w:val="fadeinpfttw8"/>
          <w:sz w:val="28"/>
          <w:szCs w:val="28"/>
        </w:rPr>
        <w:t>Theme 2: Trust and Connection with Nurses</w:t>
      </w:r>
    </w:p>
    <w:p w:rsidR="00FE6908" w:rsidRPr="00FE6908" w:rsidRDefault="00FE6908" w:rsidP="008E623F">
      <w:pPr>
        <w:pStyle w:val="a4"/>
        <w:spacing w:line="360" w:lineRule="auto"/>
        <w:ind w:firstLine="708"/>
        <w:rPr>
          <w:sz w:val="28"/>
          <w:szCs w:val="28"/>
        </w:rPr>
      </w:pPr>
      <w:r w:rsidRPr="00FE6908">
        <w:rPr>
          <w:rStyle w:val="fadeinpfttw8"/>
          <w:sz w:val="28"/>
          <w:szCs w:val="28"/>
        </w:rPr>
        <w:t>Many participants emphasized the importance of trust and empathy in their interaction with nursing staff. The informal yet structured nature of the sessions made patients feel supported and respected.</w:t>
      </w:r>
    </w:p>
    <w:p w:rsidR="00FE6908" w:rsidRPr="00FE6908" w:rsidRDefault="00FE6908" w:rsidP="00FE6908">
      <w:pPr>
        <w:pStyle w:val="a4"/>
        <w:spacing w:line="360" w:lineRule="auto"/>
        <w:rPr>
          <w:sz w:val="28"/>
          <w:szCs w:val="28"/>
        </w:rPr>
      </w:pPr>
      <w:r w:rsidRPr="00FE6908">
        <w:rPr>
          <w:rStyle w:val="fadeinpfttw8"/>
          <w:sz w:val="28"/>
          <w:szCs w:val="28"/>
        </w:rPr>
        <w:t>“I felt like the nurse listened to me, not just talked at me. That was different from my usual hospital visits.”</w:t>
      </w:r>
      <w:r w:rsidRPr="00FE6908">
        <w:rPr>
          <w:sz w:val="28"/>
          <w:szCs w:val="28"/>
        </w:rPr>
        <w:br/>
      </w:r>
      <w:r w:rsidRPr="00FE6908">
        <w:rPr>
          <w:rStyle w:val="fadeinpfttw8"/>
          <w:i/>
          <w:iCs/>
          <w:sz w:val="28"/>
          <w:szCs w:val="28"/>
        </w:rPr>
        <w:t>(Participant 17, female, 36 years old)</w:t>
      </w:r>
    </w:p>
    <w:p w:rsidR="00FE6908" w:rsidRPr="00FE6908" w:rsidRDefault="00FE6908" w:rsidP="00FE6908">
      <w:pPr>
        <w:pStyle w:val="a4"/>
        <w:spacing w:line="360" w:lineRule="auto"/>
        <w:rPr>
          <w:sz w:val="28"/>
          <w:szCs w:val="28"/>
        </w:rPr>
      </w:pPr>
      <w:r w:rsidRPr="00FE6908">
        <w:rPr>
          <w:rStyle w:val="fadeinpfttw8"/>
          <w:sz w:val="28"/>
          <w:szCs w:val="28"/>
        </w:rPr>
        <w:t>“I had many questions but felt too rushed with the doctor. With the nurse, I could ask anything, and she explained it all patiently.”</w:t>
      </w:r>
      <w:r w:rsidRPr="00FE6908">
        <w:rPr>
          <w:sz w:val="28"/>
          <w:szCs w:val="28"/>
        </w:rPr>
        <w:br/>
      </w:r>
      <w:r w:rsidRPr="00FE6908">
        <w:rPr>
          <w:rStyle w:val="fadeinpfttw8"/>
          <w:i/>
          <w:iCs/>
          <w:sz w:val="28"/>
          <w:szCs w:val="28"/>
        </w:rPr>
        <w:t>(Participant 2, male, 24 years old)</w:t>
      </w:r>
    </w:p>
    <w:p w:rsidR="00FE6908" w:rsidRPr="00FE6908" w:rsidRDefault="00FE6908" w:rsidP="00FE6908">
      <w:pPr>
        <w:pStyle w:val="4"/>
        <w:spacing w:line="360" w:lineRule="auto"/>
        <w:rPr>
          <w:sz w:val="28"/>
          <w:szCs w:val="28"/>
        </w:rPr>
      </w:pPr>
      <w:r w:rsidRPr="00FE6908">
        <w:rPr>
          <w:rStyle w:val="fadeinpfttw8"/>
          <w:sz w:val="28"/>
          <w:szCs w:val="28"/>
        </w:rPr>
        <w:lastRenderedPageBreak/>
        <w:t>Theme 3: Behavioral Change and Habit Formation</w:t>
      </w:r>
    </w:p>
    <w:p w:rsidR="00FE6908" w:rsidRPr="00FE6908" w:rsidRDefault="00FE6908" w:rsidP="008E623F">
      <w:pPr>
        <w:pStyle w:val="a4"/>
        <w:spacing w:line="360" w:lineRule="auto"/>
        <w:ind w:firstLine="708"/>
        <w:rPr>
          <w:sz w:val="28"/>
          <w:szCs w:val="28"/>
        </w:rPr>
      </w:pPr>
      <w:r w:rsidRPr="00FE6908">
        <w:rPr>
          <w:rStyle w:val="fadeinpfttw8"/>
          <w:sz w:val="28"/>
          <w:szCs w:val="28"/>
        </w:rPr>
        <w:t>Several patients described behavioral changes following the intervention, such as taking medications on time, following dietary advice, and monitoring symptoms more actively. The use of reminders (text messages, visual trackers) also supported adherence.</w:t>
      </w:r>
    </w:p>
    <w:p w:rsidR="00FE6908" w:rsidRPr="00FE6908" w:rsidRDefault="00FE6908" w:rsidP="00FE6908">
      <w:pPr>
        <w:pStyle w:val="a4"/>
        <w:spacing w:line="360" w:lineRule="auto"/>
        <w:rPr>
          <w:sz w:val="28"/>
          <w:szCs w:val="28"/>
        </w:rPr>
      </w:pPr>
      <w:r w:rsidRPr="00FE6908">
        <w:rPr>
          <w:rStyle w:val="fadeinpfttw8"/>
          <w:sz w:val="28"/>
          <w:szCs w:val="28"/>
        </w:rPr>
        <w:t>“I’ve started keeping a medication journal, something I never did before. It really helps me stick to the schedule.”</w:t>
      </w:r>
      <w:r w:rsidRPr="00FE6908">
        <w:rPr>
          <w:sz w:val="28"/>
          <w:szCs w:val="28"/>
        </w:rPr>
        <w:br/>
      </w:r>
      <w:r w:rsidRPr="00FE6908">
        <w:rPr>
          <w:rStyle w:val="fadeinpfttw8"/>
          <w:i/>
          <w:iCs/>
          <w:sz w:val="28"/>
          <w:szCs w:val="28"/>
        </w:rPr>
        <w:t>(Participant 8, female, 33 years old)</w:t>
      </w:r>
    </w:p>
    <w:p w:rsidR="00FE6908" w:rsidRPr="00FE6908" w:rsidRDefault="00FE6908" w:rsidP="00FE6908">
      <w:pPr>
        <w:pStyle w:val="a4"/>
        <w:spacing w:line="360" w:lineRule="auto"/>
        <w:rPr>
          <w:sz w:val="28"/>
          <w:szCs w:val="28"/>
        </w:rPr>
      </w:pPr>
      <w:r w:rsidRPr="00FE6908">
        <w:rPr>
          <w:rStyle w:val="fadeinpfttw8"/>
          <w:sz w:val="28"/>
          <w:szCs w:val="28"/>
        </w:rPr>
        <w:t>“Now I read the medication leaflet and try to follow instructions properly. Before, I used to skip doses if I felt okay.”</w:t>
      </w:r>
      <w:r w:rsidRPr="00FE6908">
        <w:rPr>
          <w:sz w:val="28"/>
          <w:szCs w:val="28"/>
        </w:rPr>
        <w:br/>
      </w:r>
      <w:r w:rsidRPr="00FE6908">
        <w:rPr>
          <w:rStyle w:val="fadeinpfttw8"/>
          <w:i/>
          <w:iCs/>
          <w:sz w:val="28"/>
          <w:szCs w:val="28"/>
        </w:rPr>
        <w:t>(Participant 15, male, 39 years old)</w:t>
      </w:r>
    </w:p>
    <w:p w:rsidR="00FE6908" w:rsidRPr="00FE6908" w:rsidRDefault="00FE6908" w:rsidP="00FE6908">
      <w:pPr>
        <w:pStyle w:val="4"/>
        <w:spacing w:line="360" w:lineRule="auto"/>
        <w:rPr>
          <w:sz w:val="28"/>
          <w:szCs w:val="28"/>
        </w:rPr>
      </w:pPr>
      <w:r w:rsidRPr="00FE6908">
        <w:rPr>
          <w:rStyle w:val="fadeinpfttw8"/>
          <w:sz w:val="28"/>
          <w:szCs w:val="28"/>
        </w:rPr>
        <w:t>Theme 4: Emotional Reassurance</w:t>
      </w:r>
    </w:p>
    <w:p w:rsidR="00FE6908" w:rsidRPr="00FE6908" w:rsidRDefault="00FE6908" w:rsidP="008E623F">
      <w:pPr>
        <w:pStyle w:val="a4"/>
        <w:spacing w:line="360" w:lineRule="auto"/>
        <w:ind w:firstLine="708"/>
        <w:rPr>
          <w:sz w:val="28"/>
          <w:szCs w:val="28"/>
        </w:rPr>
      </w:pPr>
      <w:r w:rsidRPr="00FE6908">
        <w:rPr>
          <w:rStyle w:val="fadeinpfttw8"/>
          <w:sz w:val="28"/>
          <w:szCs w:val="28"/>
        </w:rPr>
        <w:t>Patients appreciated the emotional support embedded in the education process. They reported feeling less isolated, more optimistic, and better able to cope with flare-ups or uncertainty about the future.</w:t>
      </w:r>
    </w:p>
    <w:p w:rsidR="00FE6908" w:rsidRPr="00FE6908" w:rsidRDefault="00FE6908" w:rsidP="00FE6908">
      <w:pPr>
        <w:pStyle w:val="a4"/>
        <w:spacing w:line="360" w:lineRule="auto"/>
        <w:rPr>
          <w:sz w:val="28"/>
          <w:szCs w:val="28"/>
        </w:rPr>
      </w:pPr>
      <w:r w:rsidRPr="00FE6908">
        <w:rPr>
          <w:rStyle w:val="fadeinpfttw8"/>
          <w:sz w:val="28"/>
          <w:szCs w:val="28"/>
        </w:rPr>
        <w:t>“I was overwhelmed when I was first diagnosed. The sessions made me feel like I’m not alone, and that I can manage this.”</w:t>
      </w:r>
      <w:r w:rsidRPr="00FE6908">
        <w:rPr>
          <w:sz w:val="28"/>
          <w:szCs w:val="28"/>
        </w:rPr>
        <w:br/>
      </w:r>
      <w:r w:rsidRPr="00FE6908">
        <w:rPr>
          <w:rStyle w:val="fadeinpfttw8"/>
          <w:i/>
          <w:iCs/>
          <w:sz w:val="28"/>
          <w:szCs w:val="28"/>
        </w:rPr>
        <w:t>(Participant 13, female, 26 years old)</w:t>
      </w:r>
    </w:p>
    <w:p w:rsidR="00FE6908" w:rsidRPr="00FE6908" w:rsidRDefault="00FE6908" w:rsidP="00FE6908">
      <w:pPr>
        <w:pStyle w:val="a4"/>
        <w:spacing w:line="360" w:lineRule="auto"/>
        <w:rPr>
          <w:sz w:val="28"/>
          <w:szCs w:val="28"/>
        </w:rPr>
      </w:pPr>
      <w:r w:rsidRPr="00FE6908">
        <w:rPr>
          <w:rStyle w:val="fadeinpfttw8"/>
          <w:sz w:val="28"/>
          <w:szCs w:val="28"/>
        </w:rPr>
        <w:t>“Even if the disease doesn’t go away, I’ve learned to live with it—not fight it blindly.”</w:t>
      </w:r>
      <w:r w:rsidRPr="00FE6908">
        <w:rPr>
          <w:sz w:val="28"/>
          <w:szCs w:val="28"/>
        </w:rPr>
        <w:br/>
      </w:r>
      <w:r w:rsidRPr="00FE6908">
        <w:rPr>
          <w:rStyle w:val="fadeinpfttw8"/>
          <w:i/>
          <w:iCs/>
          <w:sz w:val="28"/>
          <w:szCs w:val="28"/>
        </w:rPr>
        <w:t>(Participant 10, male, 45 years old)</w:t>
      </w:r>
    </w:p>
    <w:p w:rsidR="00FE6908" w:rsidRPr="00FE6908" w:rsidRDefault="00FE6908" w:rsidP="00FE6908">
      <w:pPr>
        <w:pStyle w:val="4"/>
        <w:spacing w:line="360" w:lineRule="auto"/>
        <w:rPr>
          <w:sz w:val="28"/>
          <w:szCs w:val="28"/>
        </w:rPr>
      </w:pPr>
      <w:r w:rsidRPr="00FE6908">
        <w:rPr>
          <w:rStyle w:val="fadeinpfttw8"/>
          <w:sz w:val="28"/>
          <w:szCs w:val="28"/>
        </w:rPr>
        <w:t>Theme 5: Desire for Continuity and Follow-up</w:t>
      </w:r>
    </w:p>
    <w:p w:rsidR="00FE6908" w:rsidRPr="00FE6908" w:rsidRDefault="00FE6908" w:rsidP="008E623F">
      <w:pPr>
        <w:pStyle w:val="a4"/>
        <w:spacing w:line="360" w:lineRule="auto"/>
        <w:ind w:firstLine="708"/>
        <w:rPr>
          <w:sz w:val="28"/>
          <w:szCs w:val="28"/>
        </w:rPr>
      </w:pPr>
      <w:r w:rsidRPr="00FE6908">
        <w:rPr>
          <w:rStyle w:val="fadeinpfttw8"/>
          <w:sz w:val="28"/>
          <w:szCs w:val="28"/>
        </w:rPr>
        <w:t>While participants valued the initial intervention, many expressed the need for regular follow-up sessions and continued access to educational materials. They viewed education as an ongoing process rather than a one-time event.</w:t>
      </w:r>
    </w:p>
    <w:p w:rsidR="00FE6908" w:rsidRPr="00FE6908" w:rsidRDefault="00FE6908" w:rsidP="00FE6908">
      <w:pPr>
        <w:pStyle w:val="a4"/>
        <w:spacing w:line="360" w:lineRule="auto"/>
        <w:rPr>
          <w:sz w:val="28"/>
          <w:szCs w:val="28"/>
        </w:rPr>
      </w:pPr>
      <w:r w:rsidRPr="00FE6908">
        <w:rPr>
          <w:rStyle w:val="fadeinpfttw8"/>
          <w:sz w:val="28"/>
          <w:szCs w:val="28"/>
        </w:rPr>
        <w:lastRenderedPageBreak/>
        <w:t>“It would be great to have these sessions every few months, or maybe online updates.”</w:t>
      </w:r>
      <w:r w:rsidRPr="00FE6908">
        <w:rPr>
          <w:sz w:val="28"/>
          <w:szCs w:val="28"/>
        </w:rPr>
        <w:br/>
      </w:r>
      <w:r w:rsidRPr="00FE6908">
        <w:rPr>
          <w:rStyle w:val="fadeinpfttw8"/>
          <w:i/>
          <w:iCs/>
          <w:sz w:val="28"/>
          <w:szCs w:val="28"/>
        </w:rPr>
        <w:t>(Participant 6, female, 38 years old)</w:t>
      </w:r>
    </w:p>
    <w:p w:rsidR="00FE6908" w:rsidRPr="00FE6908" w:rsidRDefault="00FE6908" w:rsidP="00FE6908">
      <w:pPr>
        <w:pStyle w:val="a4"/>
        <w:spacing w:line="360" w:lineRule="auto"/>
        <w:rPr>
          <w:sz w:val="28"/>
          <w:szCs w:val="28"/>
        </w:rPr>
      </w:pPr>
      <w:r w:rsidRPr="00FE6908">
        <w:rPr>
          <w:rStyle w:val="fadeinpfttw8"/>
          <w:sz w:val="28"/>
          <w:szCs w:val="28"/>
        </w:rPr>
        <w:t>“I wish this had been offered when I was first diagnosed—it would’ve saved me a lot of confusion.”</w:t>
      </w:r>
      <w:r w:rsidRPr="00FE6908">
        <w:rPr>
          <w:sz w:val="28"/>
          <w:szCs w:val="28"/>
        </w:rPr>
        <w:br/>
      </w:r>
      <w:r w:rsidRPr="00FE6908">
        <w:rPr>
          <w:rStyle w:val="fadeinpfttw8"/>
          <w:i/>
          <w:iCs/>
          <w:sz w:val="28"/>
          <w:szCs w:val="28"/>
        </w:rPr>
        <w:t>(Participant 19, male, 30 years old)</w:t>
      </w:r>
    </w:p>
    <w:p w:rsidR="00FE6908" w:rsidRPr="00FE6908" w:rsidRDefault="00FE6908" w:rsidP="00FE6908">
      <w:pPr>
        <w:pStyle w:val="4"/>
        <w:spacing w:line="360" w:lineRule="auto"/>
        <w:rPr>
          <w:sz w:val="28"/>
          <w:szCs w:val="28"/>
        </w:rPr>
      </w:pPr>
      <w:r w:rsidRPr="00FE6908">
        <w:rPr>
          <w:rStyle w:val="fadeinpfttw8"/>
          <w:sz w:val="28"/>
          <w:szCs w:val="28"/>
        </w:rPr>
        <w:t>Theme 6: Barriers and Remaining Challenges</w:t>
      </w:r>
    </w:p>
    <w:p w:rsidR="00FE6908" w:rsidRPr="00FE6908" w:rsidRDefault="00FE6908" w:rsidP="008E623F">
      <w:pPr>
        <w:pStyle w:val="a4"/>
        <w:spacing w:line="360" w:lineRule="auto"/>
        <w:ind w:firstLine="708"/>
        <w:rPr>
          <w:sz w:val="28"/>
          <w:szCs w:val="28"/>
        </w:rPr>
      </w:pPr>
      <w:r w:rsidRPr="00FE6908">
        <w:rPr>
          <w:rStyle w:val="fadeinpfttw8"/>
          <w:sz w:val="28"/>
          <w:szCs w:val="28"/>
        </w:rPr>
        <w:t>Some participants still struggled with adherence due to external factors such as work schedules, financial issues, and forgetfulness. Others expressed difficulty in changing long-standing habits or skepticism toward certain medications.</w:t>
      </w:r>
    </w:p>
    <w:p w:rsidR="00FE6908" w:rsidRPr="00FE6908" w:rsidRDefault="00FE6908" w:rsidP="00FE6908">
      <w:pPr>
        <w:pStyle w:val="a4"/>
        <w:spacing w:line="360" w:lineRule="auto"/>
        <w:rPr>
          <w:sz w:val="28"/>
          <w:szCs w:val="28"/>
        </w:rPr>
      </w:pPr>
      <w:r w:rsidRPr="00FE6908">
        <w:rPr>
          <w:rStyle w:val="fadeinpfttw8"/>
          <w:sz w:val="28"/>
          <w:szCs w:val="28"/>
        </w:rPr>
        <w:t>“I work in shifts, and it’s hard to remember my pills when I’m exhausted.”</w:t>
      </w:r>
      <w:r w:rsidRPr="00FE6908">
        <w:rPr>
          <w:sz w:val="28"/>
          <w:szCs w:val="28"/>
        </w:rPr>
        <w:br/>
      </w:r>
      <w:r w:rsidRPr="00FE6908">
        <w:rPr>
          <w:rStyle w:val="fadeinpfttw8"/>
          <w:i/>
          <w:iCs/>
          <w:sz w:val="28"/>
          <w:szCs w:val="28"/>
        </w:rPr>
        <w:t>(Participant 5, male, 34 years old)</w:t>
      </w:r>
    </w:p>
    <w:p w:rsidR="00FE6908" w:rsidRPr="00FE6908" w:rsidRDefault="00FE6908" w:rsidP="00FE6908">
      <w:pPr>
        <w:pStyle w:val="a4"/>
        <w:spacing w:line="360" w:lineRule="auto"/>
        <w:rPr>
          <w:sz w:val="28"/>
          <w:szCs w:val="28"/>
        </w:rPr>
      </w:pPr>
      <w:r w:rsidRPr="00FE6908">
        <w:rPr>
          <w:rStyle w:val="fadeinpfttw8"/>
          <w:sz w:val="28"/>
          <w:szCs w:val="28"/>
        </w:rPr>
        <w:t>“Even with all the explanations, I’m still not sure I want to be on medication forever.”</w:t>
      </w:r>
      <w:r w:rsidRPr="00FE6908">
        <w:rPr>
          <w:sz w:val="28"/>
          <w:szCs w:val="28"/>
        </w:rPr>
        <w:br/>
      </w:r>
      <w:r w:rsidRPr="00FE6908">
        <w:rPr>
          <w:rStyle w:val="fadeinpfttw8"/>
          <w:i/>
          <w:iCs/>
          <w:sz w:val="28"/>
          <w:szCs w:val="28"/>
        </w:rPr>
        <w:t>(Participant 14, female, 40 years old)</w:t>
      </w:r>
    </w:p>
    <w:p w:rsidR="00FE6908" w:rsidRPr="00FE6908" w:rsidRDefault="00FE6908" w:rsidP="00FE6908">
      <w:pPr>
        <w:pStyle w:val="3"/>
        <w:spacing w:line="360" w:lineRule="auto"/>
        <w:rPr>
          <w:sz w:val="28"/>
          <w:szCs w:val="28"/>
        </w:rPr>
      </w:pPr>
      <w:r w:rsidRPr="00FE6908">
        <w:rPr>
          <w:rStyle w:val="fadeinpfttw8"/>
          <w:sz w:val="28"/>
          <w:szCs w:val="28"/>
        </w:rPr>
        <w:t>Summary of Qualitative Findings</w:t>
      </w:r>
    </w:p>
    <w:p w:rsidR="00FE6908" w:rsidRPr="00FE6908" w:rsidRDefault="00FE6908" w:rsidP="008E623F">
      <w:pPr>
        <w:pStyle w:val="a4"/>
        <w:spacing w:line="360" w:lineRule="auto"/>
        <w:ind w:firstLine="360"/>
        <w:rPr>
          <w:sz w:val="28"/>
          <w:szCs w:val="28"/>
        </w:rPr>
      </w:pPr>
      <w:r w:rsidRPr="00FE6908">
        <w:rPr>
          <w:rStyle w:val="fadeinpfttw8"/>
          <w:sz w:val="28"/>
          <w:szCs w:val="28"/>
        </w:rPr>
        <w:t>The qualitative data reinforced the quantitative results, highlighting the multifaceted benefits of nurse-led educational interventions. Patients reported:</w:t>
      </w:r>
    </w:p>
    <w:p w:rsidR="00FE6908" w:rsidRPr="00FE6908" w:rsidRDefault="00FE6908" w:rsidP="0017650E">
      <w:pPr>
        <w:pStyle w:val="a4"/>
        <w:numPr>
          <w:ilvl w:val="0"/>
          <w:numId w:val="18"/>
        </w:numPr>
        <w:spacing w:line="360" w:lineRule="auto"/>
        <w:rPr>
          <w:sz w:val="28"/>
          <w:szCs w:val="28"/>
        </w:rPr>
      </w:pPr>
      <w:r w:rsidRPr="00FE6908">
        <w:rPr>
          <w:rStyle w:val="fadeinpfttw8"/>
          <w:sz w:val="28"/>
          <w:szCs w:val="28"/>
        </w:rPr>
        <w:t>Increased understanding and health literacy,</w:t>
      </w:r>
    </w:p>
    <w:p w:rsidR="00FE6908" w:rsidRPr="00FE6908" w:rsidRDefault="00FE6908" w:rsidP="0017650E">
      <w:pPr>
        <w:pStyle w:val="a4"/>
        <w:numPr>
          <w:ilvl w:val="0"/>
          <w:numId w:val="18"/>
        </w:numPr>
        <w:spacing w:line="360" w:lineRule="auto"/>
        <w:rPr>
          <w:sz w:val="28"/>
          <w:szCs w:val="28"/>
        </w:rPr>
      </w:pPr>
      <w:r w:rsidRPr="00FE6908">
        <w:rPr>
          <w:rStyle w:val="fadeinpfttw8"/>
          <w:sz w:val="28"/>
          <w:szCs w:val="28"/>
        </w:rPr>
        <w:t>Greater confidence in self-management,</w:t>
      </w:r>
    </w:p>
    <w:p w:rsidR="00FE6908" w:rsidRPr="00FE6908" w:rsidRDefault="00FE6908" w:rsidP="0017650E">
      <w:pPr>
        <w:pStyle w:val="a4"/>
        <w:numPr>
          <w:ilvl w:val="0"/>
          <w:numId w:val="18"/>
        </w:numPr>
        <w:spacing w:line="360" w:lineRule="auto"/>
        <w:rPr>
          <w:sz w:val="28"/>
          <w:szCs w:val="28"/>
        </w:rPr>
      </w:pPr>
      <w:r w:rsidRPr="00FE6908">
        <w:rPr>
          <w:rStyle w:val="fadeinpfttw8"/>
          <w:sz w:val="28"/>
          <w:szCs w:val="28"/>
        </w:rPr>
        <w:t>Stronger therapeutic relationships with nurses,</w:t>
      </w:r>
    </w:p>
    <w:p w:rsidR="00FE6908" w:rsidRPr="00FE6908" w:rsidRDefault="00FE6908" w:rsidP="0017650E">
      <w:pPr>
        <w:pStyle w:val="a4"/>
        <w:numPr>
          <w:ilvl w:val="0"/>
          <w:numId w:val="18"/>
        </w:numPr>
        <w:spacing w:line="360" w:lineRule="auto"/>
        <w:rPr>
          <w:sz w:val="28"/>
          <w:szCs w:val="28"/>
        </w:rPr>
      </w:pPr>
      <w:r w:rsidRPr="00FE6908">
        <w:rPr>
          <w:rStyle w:val="fadeinpfttw8"/>
          <w:sz w:val="28"/>
          <w:szCs w:val="28"/>
        </w:rPr>
        <w:t>Adoption of positive health behaviors,</w:t>
      </w:r>
    </w:p>
    <w:p w:rsidR="00FE6908" w:rsidRPr="00FE6908" w:rsidRDefault="00FE6908" w:rsidP="0017650E">
      <w:pPr>
        <w:pStyle w:val="a4"/>
        <w:numPr>
          <w:ilvl w:val="0"/>
          <w:numId w:val="18"/>
        </w:numPr>
        <w:spacing w:line="360" w:lineRule="auto"/>
        <w:rPr>
          <w:sz w:val="28"/>
          <w:szCs w:val="28"/>
        </w:rPr>
      </w:pPr>
      <w:r w:rsidRPr="00FE6908">
        <w:rPr>
          <w:rStyle w:val="fadeinpfttw8"/>
          <w:sz w:val="28"/>
          <w:szCs w:val="28"/>
        </w:rPr>
        <w:t>But also ongoing challenges requiring long-term support.</w:t>
      </w:r>
    </w:p>
    <w:p w:rsidR="00FE6908" w:rsidRPr="00FE6908" w:rsidRDefault="00FE6908" w:rsidP="008E623F">
      <w:pPr>
        <w:pStyle w:val="a4"/>
        <w:spacing w:line="360" w:lineRule="auto"/>
        <w:ind w:firstLine="360"/>
        <w:jc w:val="both"/>
        <w:rPr>
          <w:sz w:val="28"/>
          <w:szCs w:val="28"/>
        </w:rPr>
      </w:pPr>
      <w:r w:rsidRPr="00FE6908">
        <w:rPr>
          <w:rStyle w:val="fadeinpfttw8"/>
          <w:sz w:val="28"/>
          <w:szCs w:val="28"/>
        </w:rPr>
        <w:t xml:space="preserve">These insights underscore the </w:t>
      </w:r>
      <w:r w:rsidRPr="00FE6908">
        <w:rPr>
          <w:rStyle w:val="fadeinpfttw8"/>
          <w:b/>
          <w:bCs/>
          <w:sz w:val="28"/>
          <w:szCs w:val="28"/>
        </w:rPr>
        <w:t>importance of personalized, empathetic, and sustained educational support</w:t>
      </w:r>
      <w:r w:rsidRPr="00FE6908">
        <w:rPr>
          <w:rStyle w:val="fadeinpfttw8"/>
          <w:sz w:val="28"/>
          <w:szCs w:val="28"/>
        </w:rPr>
        <w:t xml:space="preserve"> in chronic disease care. They also support the development of a </w:t>
      </w:r>
      <w:r w:rsidRPr="00FE6908">
        <w:rPr>
          <w:rStyle w:val="fadeinpfttw8"/>
          <w:b/>
          <w:bCs/>
          <w:sz w:val="28"/>
          <w:szCs w:val="28"/>
        </w:rPr>
        <w:t>hybrid model</w:t>
      </w:r>
      <w:r w:rsidRPr="00FE6908">
        <w:rPr>
          <w:rStyle w:val="fadeinpfttw8"/>
          <w:sz w:val="28"/>
          <w:szCs w:val="28"/>
        </w:rPr>
        <w:t xml:space="preserve"> of education—combining in-person sessions with digital resources and periodic reinforcement—to ensure long-term adherence and engagement.</w:t>
      </w:r>
    </w:p>
    <w:p w:rsidR="001A48BC" w:rsidRPr="001A48BC" w:rsidRDefault="001A48BC" w:rsidP="001A48BC">
      <w:pPr>
        <w:pStyle w:val="2"/>
        <w:spacing w:line="360" w:lineRule="auto"/>
        <w:jc w:val="center"/>
        <w:rPr>
          <w:rFonts w:ascii="Times New Roman" w:hAnsi="Times New Roman" w:cs="Times New Roman"/>
          <w:b/>
          <w:bCs/>
          <w:sz w:val="28"/>
          <w:szCs w:val="28"/>
        </w:rPr>
      </w:pPr>
      <w:r w:rsidRPr="001A48BC">
        <w:rPr>
          <w:rStyle w:val="fadeinpfttw8"/>
          <w:rFonts w:ascii="Times New Roman" w:hAnsi="Times New Roman" w:cs="Times New Roman"/>
          <w:b/>
          <w:bCs/>
          <w:sz w:val="28"/>
          <w:szCs w:val="28"/>
        </w:rPr>
        <w:lastRenderedPageBreak/>
        <w:t>CHAPTER 3. DISCUSSION</w:t>
      </w:r>
    </w:p>
    <w:p w:rsidR="001A48BC" w:rsidRPr="001A48BC" w:rsidRDefault="001A48BC" w:rsidP="001A48BC">
      <w:pPr>
        <w:pStyle w:val="3"/>
        <w:spacing w:line="360" w:lineRule="auto"/>
        <w:jc w:val="both"/>
        <w:rPr>
          <w:sz w:val="28"/>
          <w:szCs w:val="28"/>
        </w:rPr>
      </w:pPr>
      <w:r w:rsidRPr="001A48BC">
        <w:rPr>
          <w:rStyle w:val="fadeinpfttw8"/>
          <w:sz w:val="28"/>
          <w:szCs w:val="28"/>
        </w:rPr>
        <w:t>3.1. Interpretation of Findings in the Context of Existing Literature</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The findings of this study provide strong evidence that structured, nurse-led educational interventions can significantly enhance medication adherence and disease-related knowledge among patients with inflammatory bowel diseases (IBD). These results are consistent with—and add further depth to—existing research in chronic disease education, patient empowerment, and the evolving role of nursing in long-term care.</w:t>
      </w:r>
    </w:p>
    <w:p w:rsidR="001A48BC" w:rsidRPr="001A48BC" w:rsidRDefault="001A48BC" w:rsidP="001A48BC">
      <w:pPr>
        <w:pStyle w:val="4"/>
        <w:spacing w:line="360" w:lineRule="auto"/>
        <w:jc w:val="both"/>
        <w:rPr>
          <w:sz w:val="28"/>
          <w:szCs w:val="28"/>
        </w:rPr>
      </w:pPr>
      <w:r w:rsidRPr="001A48BC">
        <w:rPr>
          <w:rStyle w:val="fadeinpfttw8"/>
          <w:sz w:val="28"/>
          <w:szCs w:val="28"/>
        </w:rPr>
        <w:t>Improved Adherence through Targeted Education</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 xml:space="preserve">The marked improvement in adherence scores (mean MMAS-8 increase from 5.4 to 7.1, </w:t>
      </w:r>
      <w:r w:rsidRPr="001A48BC">
        <w:rPr>
          <w:rStyle w:val="fadeinpfttw8"/>
          <w:i/>
          <w:iCs/>
          <w:sz w:val="28"/>
          <w:szCs w:val="28"/>
        </w:rPr>
        <w:t>p &lt; 0.001</w:t>
      </w:r>
      <w:r w:rsidRPr="001A48BC">
        <w:rPr>
          <w:rStyle w:val="fadeinpfttw8"/>
          <w:sz w:val="28"/>
          <w:szCs w:val="28"/>
        </w:rPr>
        <w:t>) aligns with studies that identify education as one of the most effective non-pharmacologic strategies in chronic disease management. Research by Casellas et al. (2015) and Lenti et al. (2021) similarly demonstrated that regular nurse-patient interaction and personalized counseling led to better adherence outcomes in IBD populations [43][47].</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Our study extends these findings by integrating a comprehensive educational protocol that included face-to-face sessions, printed materials, visual aids, and follow-ups. The intervention was not limited to information delivery; it incorporated emotional support and habit-building strategies—critical components that contribute to sustained behavioral change [44].</w:t>
      </w:r>
    </w:p>
    <w:p w:rsidR="001A48BC" w:rsidRPr="001A48BC" w:rsidRDefault="001A48BC" w:rsidP="001A48BC">
      <w:pPr>
        <w:pStyle w:val="4"/>
        <w:spacing w:line="360" w:lineRule="auto"/>
        <w:jc w:val="both"/>
        <w:rPr>
          <w:sz w:val="28"/>
          <w:szCs w:val="28"/>
        </w:rPr>
      </w:pPr>
      <w:r w:rsidRPr="001A48BC">
        <w:rPr>
          <w:rStyle w:val="fadeinpfttw8"/>
          <w:sz w:val="28"/>
          <w:szCs w:val="28"/>
        </w:rPr>
        <w:t>Knowledge as a Mediator of Behavior Change</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The observed 42% increase in knowledge test scores highlights the mediating role of health literacy in behavior change. Patients who were initially non-adherent due to fear or misunderstanding became more engaged once the purpose and benefit of their treatments were clarified. This finding supports the Health Belief Model (HBM), which emphasizes that belief in treatment efficacy and perceived threat of illness are key predictors of health behavior [39].</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lastRenderedPageBreak/>
        <w:t>Furthermore, patients' qualitative responses confirm that education demystified treatment plans and fostered internal motivation, not merely compliance. This affirms that patient-centered education, rather than directive instruction, has more durable effects [60].</w:t>
      </w:r>
    </w:p>
    <w:p w:rsidR="001A48BC" w:rsidRPr="001A48BC" w:rsidRDefault="001A48BC" w:rsidP="001A48BC">
      <w:pPr>
        <w:pStyle w:val="4"/>
        <w:spacing w:line="360" w:lineRule="auto"/>
        <w:jc w:val="both"/>
        <w:rPr>
          <w:sz w:val="28"/>
          <w:szCs w:val="28"/>
        </w:rPr>
      </w:pPr>
      <w:r w:rsidRPr="001A48BC">
        <w:rPr>
          <w:rStyle w:val="fadeinpfttw8"/>
          <w:sz w:val="28"/>
          <w:szCs w:val="28"/>
        </w:rPr>
        <w:t>The Critical Role of Nursing in Therapeutic Engagement</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Our results emphasize the value of nurses as educators, counselors, and continuity figures in chronic care. Participants consistently rated the nurse-led sessions as more accessible and emotionally supportive than typical physician interactions. Similar themes were reported in studies by Hou et al. (2020) and Kim et al. (2017), where nurse-patient rapport was a key driver of behavioral change [44][48].</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 xml:space="preserve">The qualitative themes that emerged from our study—particularly </w:t>
      </w:r>
      <w:r w:rsidRPr="001A48BC">
        <w:rPr>
          <w:rStyle w:val="fadeinpfttw8"/>
          <w:i/>
          <w:iCs/>
          <w:sz w:val="28"/>
          <w:szCs w:val="28"/>
        </w:rPr>
        <w:t>trust</w:t>
      </w:r>
      <w:r w:rsidRPr="001A48BC">
        <w:rPr>
          <w:rStyle w:val="fadeinpfttw8"/>
          <w:sz w:val="28"/>
          <w:szCs w:val="28"/>
        </w:rPr>
        <w:t xml:space="preserve">, </w:t>
      </w:r>
      <w:r w:rsidRPr="001A48BC">
        <w:rPr>
          <w:rStyle w:val="fadeinpfttw8"/>
          <w:i/>
          <w:iCs/>
          <w:sz w:val="28"/>
          <w:szCs w:val="28"/>
        </w:rPr>
        <w:t>clarity</w:t>
      </w:r>
      <w:r w:rsidRPr="001A48BC">
        <w:rPr>
          <w:rStyle w:val="fadeinpfttw8"/>
          <w:sz w:val="28"/>
          <w:szCs w:val="28"/>
        </w:rPr>
        <w:t xml:space="preserve">, </w:t>
      </w:r>
      <w:r w:rsidRPr="001A48BC">
        <w:rPr>
          <w:rStyle w:val="fadeinpfttw8"/>
          <w:i/>
          <w:iCs/>
          <w:sz w:val="28"/>
          <w:szCs w:val="28"/>
        </w:rPr>
        <w:t>habit formation</w:t>
      </w:r>
      <w:r w:rsidRPr="001A48BC">
        <w:rPr>
          <w:rStyle w:val="fadeinpfttw8"/>
          <w:sz w:val="28"/>
          <w:szCs w:val="28"/>
        </w:rPr>
        <w:t xml:space="preserve">, and </w:t>
      </w:r>
      <w:r w:rsidRPr="001A48BC">
        <w:rPr>
          <w:rStyle w:val="fadeinpfttw8"/>
          <w:i/>
          <w:iCs/>
          <w:sz w:val="28"/>
          <w:szCs w:val="28"/>
        </w:rPr>
        <w:t>emotional reassurance</w:t>
      </w:r>
      <w:r w:rsidRPr="001A48BC">
        <w:rPr>
          <w:rStyle w:val="fadeinpfttw8"/>
          <w:sz w:val="28"/>
          <w:szCs w:val="28"/>
        </w:rPr>
        <w:t>—echo principles of the Chronic Care Model (CCM), which posits that sustained improvement in chronic disease outcomes depends on productive interactions between informed patients and proactive teams [40].</w:t>
      </w:r>
    </w:p>
    <w:p w:rsidR="001A48BC" w:rsidRPr="001A48BC" w:rsidRDefault="001A48BC" w:rsidP="001A48BC">
      <w:pPr>
        <w:pStyle w:val="4"/>
        <w:spacing w:line="360" w:lineRule="auto"/>
        <w:jc w:val="both"/>
        <w:rPr>
          <w:sz w:val="28"/>
          <w:szCs w:val="28"/>
        </w:rPr>
      </w:pPr>
      <w:r w:rsidRPr="001A48BC">
        <w:rPr>
          <w:rStyle w:val="fadeinpfttw8"/>
          <w:sz w:val="28"/>
          <w:szCs w:val="28"/>
        </w:rPr>
        <w:t>Sociodemographic Influences: Nuanced but Relevant</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While gender, age, and education were not primary predictors of adherence, subgroup analysis revealed some patterns worth noting. Women and patients aged 25–44 were slightly more responsive to the intervention, possibly due to higher baseline health-seeking behavior and digital literacy. These observations are consistent with prior research suggesting that younger patients and women tend to engage more readily with preventive health programs [55][62].</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Conversely, older patients and those with limited formal education reported needing simpler materials and repeated sessions. This underscores the importance of tailoring educational interventions to the unique needs of each demographic group, as emphasized by WHO guidelines on health literacy and equity in chronic care [24].</w:t>
      </w:r>
    </w:p>
    <w:p w:rsidR="001A48BC" w:rsidRPr="001A48BC" w:rsidRDefault="001A48BC" w:rsidP="001A48BC">
      <w:pPr>
        <w:pStyle w:val="4"/>
        <w:spacing w:line="360" w:lineRule="auto"/>
        <w:jc w:val="both"/>
        <w:rPr>
          <w:sz w:val="28"/>
          <w:szCs w:val="28"/>
        </w:rPr>
      </w:pPr>
      <w:r w:rsidRPr="001A48BC">
        <w:rPr>
          <w:rStyle w:val="fadeinpfttw8"/>
          <w:sz w:val="28"/>
          <w:szCs w:val="28"/>
        </w:rPr>
        <w:lastRenderedPageBreak/>
        <w:t>The Value of Mixed-Methods Approach</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By combining quantitative data with qualitative feedback, this study presents a more holistic understanding of patient behavior. The thematic analysis of interviews revealed rich contextual details that would have been missed in survey data alone. Emotional readiness, family support, and structural barriers such as work schedules emerged as relevant adherence modifiers—reinforcing the multidimensional nature of adherence [58][61].</w:t>
      </w:r>
    </w:p>
    <w:p w:rsidR="001A48BC" w:rsidRPr="001A48BC" w:rsidRDefault="001A48BC" w:rsidP="001A48BC">
      <w:pPr>
        <w:pStyle w:val="a4"/>
        <w:spacing w:line="360" w:lineRule="auto"/>
        <w:ind w:firstLine="708"/>
        <w:jc w:val="both"/>
        <w:rPr>
          <w:sz w:val="28"/>
          <w:szCs w:val="28"/>
        </w:rPr>
      </w:pPr>
      <w:r w:rsidRPr="001A48BC">
        <w:rPr>
          <w:rStyle w:val="fadeinpfttw8"/>
          <w:sz w:val="28"/>
          <w:szCs w:val="28"/>
        </w:rPr>
        <w:t>The alignment between numeric trends (improved MMAS scores) and patient narratives (greater self-confidence and clarity) strengthens the internal validity of our findings and highlights the practical value of integrating patient voices into program evaluation.</w:t>
      </w:r>
    </w:p>
    <w:p w:rsidR="00B769D2" w:rsidRPr="00B769D2" w:rsidRDefault="00B769D2" w:rsidP="00B769D2">
      <w:pPr>
        <w:pStyle w:val="3"/>
        <w:spacing w:line="360" w:lineRule="auto"/>
        <w:jc w:val="both"/>
        <w:rPr>
          <w:sz w:val="28"/>
          <w:szCs w:val="28"/>
        </w:rPr>
      </w:pPr>
      <w:r w:rsidRPr="00B769D2">
        <w:rPr>
          <w:rStyle w:val="fadeinpfttw8"/>
          <w:sz w:val="28"/>
          <w:szCs w:val="28"/>
        </w:rPr>
        <w:t xml:space="preserve">3.2. Limitations of the Study and Methodological Considerations </w:t>
      </w:r>
      <w:r w:rsidRPr="00B769D2">
        <w:rPr>
          <w:rStyle w:val="fadeinpfttw8"/>
          <w:i/>
          <w:iCs/>
          <w:sz w:val="28"/>
          <w:szCs w:val="28"/>
        </w:rPr>
        <w:t>(expanded version)</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While the findings of this study offer valuable insights into the role of nurse-led educational interventions in enhancing adherence among patients with inflammatory bowel disease (IBD), several methodological and contextual limitations must be acknowledged. Recognizing these limitations is essential for accurate interpretation of the results, as well as for guiding future research and the development of evidence-based nursing strategies.</w:t>
      </w:r>
    </w:p>
    <w:p w:rsidR="00B769D2" w:rsidRPr="00B769D2" w:rsidRDefault="00B769D2" w:rsidP="00B769D2">
      <w:pPr>
        <w:pStyle w:val="4"/>
        <w:spacing w:line="360" w:lineRule="auto"/>
        <w:jc w:val="both"/>
        <w:rPr>
          <w:sz w:val="28"/>
          <w:szCs w:val="28"/>
        </w:rPr>
      </w:pPr>
      <w:r w:rsidRPr="00B769D2">
        <w:rPr>
          <w:rStyle w:val="fadeinpfttw8"/>
          <w:sz w:val="28"/>
          <w:szCs w:val="28"/>
        </w:rPr>
        <w:t>1. Sample Size and Generalizability</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The total number of participants (n = 85) provided sufficient statistical power to detect meaningful differences in adherence and knowledge before and after the intervention. However, the sample was drawn from a </w:t>
      </w:r>
      <w:r w:rsidRPr="00B769D2">
        <w:rPr>
          <w:rStyle w:val="fadeinpfttw8"/>
          <w:b/>
          <w:bCs/>
          <w:sz w:val="28"/>
          <w:szCs w:val="28"/>
        </w:rPr>
        <w:t>single clinical site</w:t>
      </w:r>
      <w:r w:rsidRPr="00B769D2">
        <w:rPr>
          <w:rStyle w:val="fadeinpfttw8"/>
          <w:sz w:val="28"/>
          <w:szCs w:val="28"/>
        </w:rPr>
        <w:t>, potentially limiting the generalizability of the findings to broader or more diverse populations. Differences in healthcare delivery models, access to specialist nursing care, institutional resources, and cultural norms across regions may influence the effectiveness of similar interventions elsewhere.</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Additionally, the sample's sociodemographic profile may not reflect the full spectrum of individuals living with IBD. For example, rural residents, older adults with cognitive </w:t>
      </w:r>
      <w:r w:rsidRPr="00B769D2">
        <w:rPr>
          <w:rStyle w:val="fadeinpfttw8"/>
          <w:sz w:val="28"/>
          <w:szCs w:val="28"/>
        </w:rPr>
        <w:lastRenderedPageBreak/>
        <w:t xml:space="preserve">impairments, or individuals with limited internet access may face barriers to participation in similar educational programs. Consequently, </w:t>
      </w:r>
      <w:r w:rsidRPr="00B769D2">
        <w:rPr>
          <w:rStyle w:val="fadeinpfttw8"/>
          <w:b/>
          <w:bCs/>
          <w:sz w:val="28"/>
          <w:szCs w:val="28"/>
        </w:rPr>
        <w:t>replication studies</w:t>
      </w:r>
      <w:r w:rsidRPr="00B769D2">
        <w:rPr>
          <w:rStyle w:val="fadeinpfttw8"/>
          <w:sz w:val="28"/>
          <w:szCs w:val="28"/>
        </w:rPr>
        <w:t xml:space="preserve"> in multiple, diverse clinical environments are needed to confirm and extend these findings.</w:t>
      </w:r>
    </w:p>
    <w:p w:rsidR="00B769D2" w:rsidRPr="00B769D2" w:rsidRDefault="00B769D2" w:rsidP="00B769D2">
      <w:pPr>
        <w:pStyle w:val="4"/>
        <w:spacing w:line="360" w:lineRule="auto"/>
        <w:jc w:val="both"/>
        <w:rPr>
          <w:sz w:val="28"/>
          <w:szCs w:val="28"/>
        </w:rPr>
      </w:pPr>
      <w:r w:rsidRPr="00B769D2">
        <w:rPr>
          <w:rStyle w:val="fadeinpfttw8"/>
          <w:sz w:val="28"/>
          <w:szCs w:val="28"/>
        </w:rPr>
        <w:t>2. Selection Bias and Voluntary Participation</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Participation in the intervention was voluntary, and this introduces the potential for </w:t>
      </w:r>
      <w:r w:rsidRPr="00B769D2">
        <w:rPr>
          <w:rStyle w:val="fadeinpfttw8"/>
          <w:b/>
          <w:bCs/>
          <w:sz w:val="28"/>
          <w:szCs w:val="28"/>
        </w:rPr>
        <w:t>selection bias</w:t>
      </w:r>
      <w:r w:rsidRPr="00B769D2">
        <w:rPr>
          <w:rStyle w:val="fadeinpfttw8"/>
          <w:sz w:val="28"/>
          <w:szCs w:val="28"/>
        </w:rPr>
        <w:t>. Individuals who agreed to participate may have already been more motivated, engaged in their care, or open to receiving educational support compared to those who declined. This may have inflated the apparent effectiveness of the intervention, as those least likely to adhere or respond may have been underrepresented.</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It is also possible that some participants completed the program out of social obligation or desire to please the research team, rather than intrinsic motivation. This highlights the importance of considering </w:t>
      </w:r>
      <w:r w:rsidRPr="00B769D2">
        <w:rPr>
          <w:rStyle w:val="fadeinpfttw8"/>
          <w:b/>
          <w:bCs/>
          <w:sz w:val="28"/>
          <w:szCs w:val="28"/>
        </w:rPr>
        <w:t>participant readiness to change</w:t>
      </w:r>
      <w:r w:rsidRPr="00B769D2">
        <w:rPr>
          <w:rStyle w:val="fadeinpfttw8"/>
          <w:sz w:val="28"/>
          <w:szCs w:val="28"/>
        </w:rPr>
        <w:t xml:space="preserve"> and underlying attitudes toward treatment in future program design and evaluation.</w:t>
      </w:r>
    </w:p>
    <w:p w:rsidR="00B769D2" w:rsidRPr="00B769D2" w:rsidRDefault="00B769D2" w:rsidP="00B769D2">
      <w:pPr>
        <w:pStyle w:val="4"/>
        <w:spacing w:line="360" w:lineRule="auto"/>
        <w:jc w:val="both"/>
        <w:rPr>
          <w:sz w:val="28"/>
          <w:szCs w:val="28"/>
        </w:rPr>
      </w:pPr>
      <w:r w:rsidRPr="00B769D2">
        <w:rPr>
          <w:rStyle w:val="fadeinpfttw8"/>
          <w:sz w:val="28"/>
          <w:szCs w:val="28"/>
        </w:rPr>
        <w:t>3. Short Follow-Up Period</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The three-month follow-up period was selected to balance feasibility and the ability to detect short-term changes. While significant improvements were observed in adherence and knowledge, it remains unclear whether these effects are </w:t>
      </w:r>
      <w:r w:rsidRPr="00B769D2">
        <w:rPr>
          <w:rStyle w:val="fadeinpfttw8"/>
          <w:b/>
          <w:bCs/>
          <w:sz w:val="28"/>
          <w:szCs w:val="28"/>
        </w:rPr>
        <w:t>sustained over the long term</w:t>
      </w:r>
      <w:r w:rsidRPr="00B769D2">
        <w:rPr>
          <w:rStyle w:val="fadeinpfttw8"/>
          <w:sz w:val="28"/>
          <w:szCs w:val="28"/>
        </w:rPr>
        <w:t>, especially in the absence of continued reinforcement.</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IBD is a lifelong condition, and patient adherence tends to fluctuate over time due to stress, symptom changes, medication fatigue, or life events. Future studies should consider </w:t>
      </w:r>
      <w:r w:rsidRPr="00B769D2">
        <w:rPr>
          <w:rStyle w:val="fadeinpfttw8"/>
          <w:b/>
          <w:bCs/>
          <w:sz w:val="28"/>
          <w:szCs w:val="28"/>
        </w:rPr>
        <w:t>extended follow-up periods of 6 to 12 months</w:t>
      </w:r>
      <w:r w:rsidRPr="00B769D2">
        <w:rPr>
          <w:rStyle w:val="fadeinpfttw8"/>
          <w:sz w:val="28"/>
          <w:szCs w:val="28"/>
        </w:rPr>
        <w:t xml:space="preserve"> or more, with booster educational sessions or check-ins to evaluate the durability of outcomes. Such longitudinal approaches would also allow for analysis of disease flare-ups, hospitalizations, or treatment escalation as clinical endpoints associated with adherence.</w:t>
      </w:r>
    </w:p>
    <w:p w:rsidR="00B769D2" w:rsidRPr="00B769D2" w:rsidRDefault="00B769D2" w:rsidP="00B769D2">
      <w:pPr>
        <w:pStyle w:val="4"/>
        <w:spacing w:line="360" w:lineRule="auto"/>
        <w:jc w:val="both"/>
        <w:rPr>
          <w:sz w:val="28"/>
          <w:szCs w:val="28"/>
        </w:rPr>
      </w:pPr>
      <w:r w:rsidRPr="00B769D2">
        <w:rPr>
          <w:rStyle w:val="fadeinpfttw8"/>
          <w:sz w:val="28"/>
          <w:szCs w:val="28"/>
        </w:rPr>
        <w:lastRenderedPageBreak/>
        <w:t>4. Reliance on Self-Reported Measures</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The study employed validated self-report tools—the MMAS-8 for medication adherence and a structured knowledge questionnaire—to assess primary outcomes. Although these instruments are widely accepted, they are subject to </w:t>
      </w:r>
      <w:r w:rsidRPr="00B769D2">
        <w:rPr>
          <w:rStyle w:val="fadeinpfttw8"/>
          <w:b/>
          <w:bCs/>
          <w:sz w:val="28"/>
          <w:szCs w:val="28"/>
        </w:rPr>
        <w:t>recall bias</w:t>
      </w:r>
      <w:r w:rsidRPr="00B769D2">
        <w:rPr>
          <w:rStyle w:val="fadeinpfttw8"/>
          <w:sz w:val="28"/>
          <w:szCs w:val="28"/>
        </w:rPr>
        <w:t xml:space="preserve">, </w:t>
      </w:r>
      <w:r w:rsidRPr="00B769D2">
        <w:rPr>
          <w:rStyle w:val="fadeinpfttw8"/>
          <w:b/>
          <w:bCs/>
          <w:sz w:val="28"/>
          <w:szCs w:val="28"/>
        </w:rPr>
        <w:t>self-perception limitations</w:t>
      </w:r>
      <w:r w:rsidRPr="00B769D2">
        <w:rPr>
          <w:rStyle w:val="fadeinpfttw8"/>
          <w:sz w:val="28"/>
          <w:szCs w:val="28"/>
        </w:rPr>
        <w:t xml:space="preserve">, and </w:t>
      </w:r>
      <w:r w:rsidRPr="00B769D2">
        <w:rPr>
          <w:rStyle w:val="fadeinpfttw8"/>
          <w:b/>
          <w:bCs/>
          <w:sz w:val="28"/>
          <w:szCs w:val="28"/>
        </w:rPr>
        <w:t>social desirability bias</w:t>
      </w:r>
      <w:r w:rsidRPr="00B769D2">
        <w:rPr>
          <w:rStyle w:val="fadeinpfttw8"/>
          <w:sz w:val="28"/>
          <w:szCs w:val="28"/>
        </w:rPr>
        <w:t>.</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Patients may overstate their adherence to avoid perceived judgment or to align with what they believe researchers expect. Likewise, patients may report better understanding of disease concepts than they actually possess, especially if quizzes are delivered in a clinical setting where they may feel pressure to perform.</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To improve accuracy in future studies, </w:t>
      </w:r>
      <w:r w:rsidRPr="00B769D2">
        <w:rPr>
          <w:rStyle w:val="fadeinpfttw8"/>
          <w:b/>
          <w:bCs/>
          <w:sz w:val="28"/>
          <w:szCs w:val="28"/>
        </w:rPr>
        <w:t>objective adherence measures</w:t>
      </w:r>
      <w:r w:rsidRPr="00B769D2">
        <w:rPr>
          <w:rStyle w:val="fadeinpfttw8"/>
          <w:sz w:val="28"/>
          <w:szCs w:val="28"/>
        </w:rPr>
        <w:t xml:space="preserve">—such as pharmacy refill records, electronic medication monitors, or therapeutic drug monitoring—should be incorporated where possible. Likewise, </w:t>
      </w:r>
      <w:r w:rsidRPr="00B769D2">
        <w:rPr>
          <w:rStyle w:val="fadeinpfttw8"/>
          <w:b/>
          <w:bCs/>
          <w:sz w:val="28"/>
          <w:szCs w:val="28"/>
        </w:rPr>
        <w:t>observational assessments</w:t>
      </w:r>
      <w:r w:rsidRPr="00B769D2">
        <w:rPr>
          <w:rStyle w:val="fadeinpfttw8"/>
          <w:sz w:val="28"/>
          <w:szCs w:val="28"/>
        </w:rPr>
        <w:t xml:space="preserve"> or scenario-based evaluations of patient decision-making could provide more nuanced insights into knowledge application, not just retention.</w:t>
      </w:r>
    </w:p>
    <w:p w:rsidR="00B769D2" w:rsidRPr="00B769D2" w:rsidRDefault="00B769D2" w:rsidP="00B769D2">
      <w:pPr>
        <w:pStyle w:val="4"/>
        <w:spacing w:line="360" w:lineRule="auto"/>
        <w:jc w:val="both"/>
        <w:rPr>
          <w:sz w:val="28"/>
          <w:szCs w:val="28"/>
        </w:rPr>
      </w:pPr>
      <w:r w:rsidRPr="00B769D2">
        <w:rPr>
          <w:rStyle w:val="fadeinpfttw8"/>
          <w:sz w:val="28"/>
          <w:szCs w:val="28"/>
        </w:rPr>
        <w:t>5. Lack of Control Group and Randomization</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The absence of a control group is a significant methodological limitation. Without a comparison group receiving standard care or an alternative intervention, it is difficult to definitively attribute improvements solely to the educational program. Other factors—such as concurrent physician guidance, natural disease progression, changes in life circumstances, or the psychological effect of increased attention—may have contributed to the observed outcomes.</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Although this pre-post design is valuable for exploratory research, future studies should employ </w:t>
      </w:r>
      <w:r w:rsidRPr="00B769D2">
        <w:rPr>
          <w:rStyle w:val="fadeinpfttw8"/>
          <w:b/>
          <w:bCs/>
          <w:sz w:val="28"/>
          <w:szCs w:val="28"/>
        </w:rPr>
        <w:t>randomized controlled trials (RCTs)</w:t>
      </w:r>
      <w:r w:rsidRPr="00B769D2">
        <w:rPr>
          <w:rStyle w:val="fadeinpfttw8"/>
          <w:sz w:val="28"/>
          <w:szCs w:val="28"/>
        </w:rPr>
        <w:t xml:space="preserve"> or at least quasi-experimental designs with matched controls to isolate the effects of nursing-led education. This would strengthen the internal validity of findings and allow for more confident generalization to broader populations.</w:t>
      </w:r>
    </w:p>
    <w:p w:rsidR="00B769D2" w:rsidRPr="00B769D2" w:rsidRDefault="00B769D2" w:rsidP="00B769D2">
      <w:pPr>
        <w:pStyle w:val="4"/>
        <w:spacing w:line="360" w:lineRule="auto"/>
        <w:jc w:val="both"/>
        <w:rPr>
          <w:sz w:val="28"/>
          <w:szCs w:val="28"/>
        </w:rPr>
      </w:pPr>
      <w:r w:rsidRPr="00B769D2">
        <w:rPr>
          <w:rStyle w:val="fadeinpfttw8"/>
          <w:sz w:val="28"/>
          <w:szCs w:val="28"/>
        </w:rPr>
        <w:lastRenderedPageBreak/>
        <w:t>6. Heterogeneity in the Study Sample</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Participants in this study differed in terms of diagnosis (Crohn’s disease vs. ulcerative colitis), treatment regimen (biologics vs. conventional therapy), disease duration, and symptom severity. While such diversity reflects real-world clinical settings and enhances </w:t>
      </w:r>
      <w:r w:rsidRPr="00B769D2">
        <w:rPr>
          <w:rStyle w:val="fadeinpfttw8"/>
          <w:b/>
          <w:bCs/>
          <w:sz w:val="28"/>
          <w:szCs w:val="28"/>
        </w:rPr>
        <w:t>external validity</w:t>
      </w:r>
      <w:r w:rsidRPr="00B769D2">
        <w:rPr>
          <w:rStyle w:val="fadeinpfttw8"/>
          <w:sz w:val="28"/>
          <w:szCs w:val="28"/>
        </w:rPr>
        <w:t>, it also introduces variability that may confound analysis.</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For instance, a newly diagnosed patient may respond differently to educational support than someone with a 15-year disease history. Similarly, patients on infusional therapy may have better access to routine nursing support than those managing oral medications independently. These subgroup-specific factors were not fully explored due to sample size constraints but should be prioritized in larger-scale studies with stratified analyses.</w:t>
      </w:r>
    </w:p>
    <w:p w:rsidR="00B769D2" w:rsidRPr="00B769D2" w:rsidRDefault="00B769D2" w:rsidP="00B769D2">
      <w:pPr>
        <w:pStyle w:val="4"/>
        <w:spacing w:line="360" w:lineRule="auto"/>
        <w:jc w:val="both"/>
        <w:rPr>
          <w:sz w:val="28"/>
          <w:szCs w:val="28"/>
        </w:rPr>
      </w:pPr>
      <w:r w:rsidRPr="00B769D2">
        <w:rPr>
          <w:rStyle w:val="fadeinpfttw8"/>
          <w:sz w:val="28"/>
          <w:szCs w:val="28"/>
        </w:rPr>
        <w:t>7. Intervention Delivery Variability</w:t>
      </w:r>
    </w:p>
    <w:p w:rsidR="00B769D2" w:rsidRPr="00B769D2" w:rsidRDefault="00B769D2" w:rsidP="00B769D2">
      <w:pPr>
        <w:pStyle w:val="a4"/>
        <w:spacing w:line="360" w:lineRule="auto"/>
        <w:ind w:firstLine="708"/>
        <w:jc w:val="both"/>
        <w:rPr>
          <w:sz w:val="28"/>
          <w:szCs w:val="28"/>
        </w:rPr>
      </w:pPr>
      <w:r w:rsidRPr="00B769D2">
        <w:rPr>
          <w:rStyle w:val="fadeinpfttw8"/>
          <w:sz w:val="28"/>
          <w:szCs w:val="28"/>
        </w:rPr>
        <w:t xml:space="preserve">Although all nurses involved in the intervention received standard training, minor differences in </w:t>
      </w:r>
      <w:r w:rsidRPr="00B769D2">
        <w:rPr>
          <w:rStyle w:val="fadeinpfttw8"/>
          <w:b/>
          <w:bCs/>
          <w:sz w:val="28"/>
          <w:szCs w:val="28"/>
        </w:rPr>
        <w:t>delivery style</w:t>
      </w:r>
      <w:r w:rsidRPr="00B769D2">
        <w:rPr>
          <w:rStyle w:val="fadeinpfttw8"/>
          <w:sz w:val="28"/>
          <w:szCs w:val="28"/>
        </w:rPr>
        <w:t>, communication approach, or non-verbal interaction may have influenced patient experiences. Human interactions are inherently variable, and subtle distinctions in empathy, clarity, or responsiveness can shape how education is received and internalized.</w:t>
      </w:r>
    </w:p>
    <w:p w:rsidR="00B769D2" w:rsidRDefault="00B769D2" w:rsidP="00B769D2">
      <w:pPr>
        <w:pStyle w:val="a4"/>
        <w:spacing w:line="360" w:lineRule="auto"/>
        <w:ind w:firstLine="708"/>
        <w:jc w:val="both"/>
        <w:rPr>
          <w:rStyle w:val="fadeinpfttw8"/>
          <w:sz w:val="28"/>
          <w:szCs w:val="28"/>
        </w:rPr>
      </w:pPr>
      <w:r w:rsidRPr="00B769D2">
        <w:rPr>
          <w:rStyle w:val="fadeinpfttw8"/>
          <w:sz w:val="28"/>
          <w:szCs w:val="28"/>
        </w:rPr>
        <w:t xml:space="preserve">Future implementation studies should include fidelity checks—such as session recording reviews or standardized checklists—to ensure consistent delivery and allow for analysis of </w:t>
      </w:r>
      <w:r w:rsidRPr="00B769D2">
        <w:rPr>
          <w:rStyle w:val="fadeinpfttw8"/>
          <w:b/>
          <w:bCs/>
          <w:sz w:val="28"/>
          <w:szCs w:val="28"/>
        </w:rPr>
        <w:t>intervention components most strongly associated with success</w:t>
      </w:r>
      <w:r w:rsidRPr="00B769D2">
        <w:rPr>
          <w:rStyle w:val="fadeinpfttw8"/>
          <w:sz w:val="28"/>
          <w:szCs w:val="28"/>
        </w:rPr>
        <w:t>.</w:t>
      </w:r>
    </w:p>
    <w:p w:rsidR="00C26AB0" w:rsidRPr="00C26AB0" w:rsidRDefault="00C26AB0" w:rsidP="00C26AB0">
      <w:pPr>
        <w:pStyle w:val="3"/>
        <w:spacing w:line="360" w:lineRule="auto"/>
        <w:jc w:val="both"/>
        <w:rPr>
          <w:sz w:val="28"/>
          <w:szCs w:val="28"/>
        </w:rPr>
      </w:pPr>
      <w:r w:rsidRPr="00C26AB0">
        <w:rPr>
          <w:rStyle w:val="fadeinpfttw8"/>
          <w:sz w:val="28"/>
          <w:szCs w:val="28"/>
        </w:rPr>
        <w:t>3.3. Practical Recommendations for Nursing Practice</w:t>
      </w:r>
    </w:p>
    <w:p w:rsidR="00C26AB0" w:rsidRPr="00C26AB0" w:rsidRDefault="00C26AB0" w:rsidP="00C26AB0">
      <w:pPr>
        <w:pStyle w:val="a4"/>
        <w:spacing w:line="360" w:lineRule="auto"/>
        <w:ind w:firstLine="708"/>
        <w:jc w:val="both"/>
        <w:rPr>
          <w:sz w:val="28"/>
          <w:szCs w:val="28"/>
        </w:rPr>
      </w:pPr>
      <w:r w:rsidRPr="00C26AB0">
        <w:rPr>
          <w:rStyle w:val="fadeinpfttw8"/>
          <w:sz w:val="28"/>
          <w:szCs w:val="28"/>
        </w:rPr>
        <w:t xml:space="preserve">The findings of this study underscore the critical role of nurses in improving treatment adherence and patient outcomes in inflammatory bowel diseases (IBD) through structured education and supportive communication. However, the successful implementation of such interventions in everyday practice requires a strategic approach. This section outlines </w:t>
      </w:r>
      <w:r w:rsidRPr="00C26AB0">
        <w:rPr>
          <w:rStyle w:val="fadeinpfttw8"/>
          <w:sz w:val="28"/>
          <w:szCs w:val="28"/>
        </w:rPr>
        <w:lastRenderedPageBreak/>
        <w:t>practical, evidence-based recommendations for integrating educational nursing activities into routine IBD care, with emphasis on feasibility, sustainability, and individualization.</w:t>
      </w:r>
    </w:p>
    <w:p w:rsidR="00C26AB0" w:rsidRPr="00C26AB0" w:rsidRDefault="00C26AB0" w:rsidP="00C26AB0">
      <w:pPr>
        <w:pStyle w:val="4"/>
        <w:spacing w:line="360" w:lineRule="auto"/>
        <w:jc w:val="both"/>
        <w:rPr>
          <w:sz w:val="28"/>
          <w:szCs w:val="28"/>
        </w:rPr>
      </w:pPr>
      <w:r w:rsidRPr="00C26AB0">
        <w:rPr>
          <w:rStyle w:val="fadeinpfttw8"/>
          <w:sz w:val="28"/>
          <w:szCs w:val="28"/>
        </w:rPr>
        <w:t>1. Institutionalizing Nurse-Led Education Programs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One of the primary steps in promoting adherence in clinical practice is the formal establishment of nurse-led education as an integral component of the IBD care model. Many facilities treat patient education as an informal or secondary task, rather than a structured clinical process. Based on our findings and international experience, the following recommendations are proposed:</w:t>
      </w:r>
    </w:p>
    <w:p w:rsidR="00C26AB0" w:rsidRPr="00C26AB0" w:rsidRDefault="00C26AB0" w:rsidP="0017650E">
      <w:pPr>
        <w:pStyle w:val="a4"/>
        <w:numPr>
          <w:ilvl w:val="0"/>
          <w:numId w:val="19"/>
        </w:numPr>
        <w:spacing w:line="360" w:lineRule="auto"/>
        <w:jc w:val="both"/>
        <w:rPr>
          <w:sz w:val="28"/>
          <w:szCs w:val="28"/>
        </w:rPr>
      </w:pPr>
      <w:r w:rsidRPr="00C26AB0">
        <w:rPr>
          <w:rStyle w:val="fadeinpfttw8"/>
          <w:b/>
          <w:bCs/>
          <w:sz w:val="28"/>
          <w:szCs w:val="28"/>
        </w:rPr>
        <w:t>Develop and implement standardized educational protocols</w:t>
      </w:r>
      <w:r w:rsidRPr="00C26AB0">
        <w:rPr>
          <w:rStyle w:val="fadeinpfttw8"/>
          <w:sz w:val="28"/>
          <w:szCs w:val="28"/>
        </w:rPr>
        <w:t>: Education should follow a structured curriculum, tailored to disease stage (newly diagnosed vs. long-standing disease), treatment phase (induction vs. maintenance), and individual literacy levels.</w:t>
      </w:r>
    </w:p>
    <w:p w:rsidR="00C26AB0" w:rsidRPr="00C26AB0" w:rsidRDefault="00C26AB0" w:rsidP="0017650E">
      <w:pPr>
        <w:pStyle w:val="a4"/>
        <w:numPr>
          <w:ilvl w:val="0"/>
          <w:numId w:val="19"/>
        </w:numPr>
        <w:spacing w:line="360" w:lineRule="auto"/>
        <w:jc w:val="both"/>
        <w:rPr>
          <w:sz w:val="28"/>
          <w:szCs w:val="28"/>
        </w:rPr>
      </w:pPr>
      <w:r w:rsidRPr="00C26AB0">
        <w:rPr>
          <w:rStyle w:val="fadeinpfttw8"/>
          <w:b/>
          <w:bCs/>
          <w:sz w:val="28"/>
          <w:szCs w:val="28"/>
        </w:rPr>
        <w:t>Designate IBD nurse educators or IBD nurse specialists</w:t>
      </w:r>
      <w:r w:rsidRPr="00C26AB0">
        <w:rPr>
          <w:rStyle w:val="fadeinpfttw8"/>
          <w:sz w:val="28"/>
          <w:szCs w:val="28"/>
        </w:rPr>
        <w:t>: Facilities should invest in specialized nursing roles with training in gastroenterology, therapeutic communication, and health coaching [63].</w:t>
      </w:r>
    </w:p>
    <w:p w:rsidR="00C26AB0" w:rsidRPr="00C26AB0" w:rsidRDefault="00C26AB0" w:rsidP="0017650E">
      <w:pPr>
        <w:pStyle w:val="a4"/>
        <w:numPr>
          <w:ilvl w:val="0"/>
          <w:numId w:val="19"/>
        </w:numPr>
        <w:spacing w:line="360" w:lineRule="auto"/>
        <w:jc w:val="both"/>
        <w:rPr>
          <w:sz w:val="28"/>
          <w:szCs w:val="28"/>
        </w:rPr>
      </w:pPr>
      <w:r w:rsidRPr="00C26AB0">
        <w:rPr>
          <w:rStyle w:val="fadeinpfttw8"/>
          <w:b/>
          <w:bCs/>
          <w:sz w:val="28"/>
          <w:szCs w:val="28"/>
        </w:rPr>
        <w:t>Allocate protected time for educational consultations</w:t>
      </w:r>
      <w:r w:rsidRPr="00C26AB0">
        <w:rPr>
          <w:rStyle w:val="fadeinpfttw8"/>
          <w:sz w:val="28"/>
          <w:szCs w:val="28"/>
        </w:rPr>
        <w:t>: Nurse sessions should be scheduled as separate, billable appointments, not informal discussions during routine care.</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A systematic review by McCombie et al. (2019) confirmed that IBD patients receiving structured support from nurse specialists had lower rates of hospitalization and reported greater satisfaction with their care pathway [64].</w:t>
      </w:r>
    </w:p>
    <w:p w:rsidR="00C26AB0" w:rsidRPr="00C26AB0" w:rsidRDefault="00C26AB0" w:rsidP="00C26AB0">
      <w:pPr>
        <w:pStyle w:val="4"/>
        <w:spacing w:line="360" w:lineRule="auto"/>
        <w:jc w:val="both"/>
        <w:rPr>
          <w:sz w:val="28"/>
          <w:szCs w:val="28"/>
        </w:rPr>
      </w:pPr>
      <w:r w:rsidRPr="00C26AB0">
        <w:rPr>
          <w:rStyle w:val="fadeinpfttw8"/>
          <w:sz w:val="28"/>
          <w:szCs w:val="28"/>
        </w:rPr>
        <w:t>2. Early Integration of Education at Diagnosis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Our findings highlight that many patients experience emotional overload and confusion at the time of diagnosis, which contributes to poor adherence later. To mitigate this:</w:t>
      </w:r>
    </w:p>
    <w:p w:rsidR="00C26AB0" w:rsidRPr="00C26AB0" w:rsidRDefault="00C26AB0" w:rsidP="0017650E">
      <w:pPr>
        <w:pStyle w:val="a4"/>
        <w:numPr>
          <w:ilvl w:val="0"/>
          <w:numId w:val="20"/>
        </w:numPr>
        <w:spacing w:line="360" w:lineRule="auto"/>
        <w:jc w:val="both"/>
        <w:rPr>
          <w:sz w:val="28"/>
          <w:szCs w:val="28"/>
        </w:rPr>
      </w:pPr>
      <w:r w:rsidRPr="00C26AB0">
        <w:rPr>
          <w:rStyle w:val="fadeinpfttw8"/>
          <w:b/>
          <w:bCs/>
          <w:sz w:val="28"/>
          <w:szCs w:val="28"/>
        </w:rPr>
        <w:t>Initiate education within two weeks of confirmed diagnosis</w:t>
      </w:r>
      <w:r w:rsidRPr="00C26AB0">
        <w:rPr>
          <w:rStyle w:val="fadeinpfttw8"/>
          <w:sz w:val="28"/>
          <w:szCs w:val="28"/>
        </w:rPr>
        <w:t>.</w:t>
      </w:r>
    </w:p>
    <w:p w:rsidR="00C26AB0" w:rsidRPr="00C26AB0" w:rsidRDefault="00C26AB0" w:rsidP="0017650E">
      <w:pPr>
        <w:pStyle w:val="a4"/>
        <w:numPr>
          <w:ilvl w:val="0"/>
          <w:numId w:val="20"/>
        </w:numPr>
        <w:spacing w:line="360" w:lineRule="auto"/>
        <w:jc w:val="both"/>
        <w:rPr>
          <w:sz w:val="28"/>
          <w:szCs w:val="28"/>
        </w:rPr>
      </w:pPr>
      <w:r w:rsidRPr="00C26AB0">
        <w:rPr>
          <w:rStyle w:val="fadeinpfttw8"/>
          <w:b/>
          <w:bCs/>
          <w:sz w:val="28"/>
          <w:szCs w:val="28"/>
        </w:rPr>
        <w:lastRenderedPageBreak/>
        <w:t>Deliver information in phases</w:t>
      </w:r>
      <w:r w:rsidRPr="00C26AB0">
        <w:rPr>
          <w:rStyle w:val="fadeinpfttw8"/>
          <w:sz w:val="28"/>
          <w:szCs w:val="28"/>
        </w:rPr>
        <w:t>: Start with basic disease understanding, then build on topics such as medications, flare recognition, diet, and stress management.</w:t>
      </w:r>
    </w:p>
    <w:p w:rsidR="00C26AB0" w:rsidRPr="00C26AB0" w:rsidRDefault="00C26AB0" w:rsidP="0017650E">
      <w:pPr>
        <w:pStyle w:val="a4"/>
        <w:numPr>
          <w:ilvl w:val="0"/>
          <w:numId w:val="20"/>
        </w:numPr>
        <w:spacing w:line="360" w:lineRule="auto"/>
        <w:jc w:val="both"/>
        <w:rPr>
          <w:sz w:val="28"/>
          <w:szCs w:val="28"/>
        </w:rPr>
      </w:pPr>
      <w:r w:rsidRPr="00C26AB0">
        <w:rPr>
          <w:rStyle w:val="fadeinpfttw8"/>
          <w:b/>
          <w:bCs/>
          <w:sz w:val="28"/>
          <w:szCs w:val="28"/>
        </w:rPr>
        <w:t>Use layered teaching</w:t>
      </w:r>
      <w:r w:rsidRPr="00C26AB0">
        <w:rPr>
          <w:rStyle w:val="fadeinpfttw8"/>
          <w:sz w:val="28"/>
          <w:szCs w:val="28"/>
        </w:rPr>
        <w:t>: Combine verbal counseling with written handouts, infographics, or mobile apps that can be revisited later.</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Early education not only enhances adherence but also helps patients psychologically adjust to their diagnosis, which is crucial for long-term self-management [65].</w:t>
      </w:r>
    </w:p>
    <w:p w:rsidR="00C26AB0" w:rsidRPr="00C26AB0" w:rsidRDefault="00C26AB0" w:rsidP="00C26AB0">
      <w:pPr>
        <w:pStyle w:val="4"/>
        <w:spacing w:line="360" w:lineRule="auto"/>
        <w:jc w:val="both"/>
        <w:rPr>
          <w:sz w:val="28"/>
          <w:szCs w:val="28"/>
        </w:rPr>
      </w:pPr>
      <w:r w:rsidRPr="00C26AB0">
        <w:rPr>
          <w:rStyle w:val="fadeinpfttw8"/>
          <w:sz w:val="28"/>
          <w:szCs w:val="28"/>
        </w:rPr>
        <w:t>3. Utilize Multimodal and Repetitive Teaching Strategies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Patient retention improves when information is presented in different forms and reinforced over time. Based on the feedback in this study and global best practices:</w:t>
      </w:r>
    </w:p>
    <w:p w:rsidR="00C26AB0" w:rsidRPr="00C26AB0" w:rsidRDefault="00C26AB0" w:rsidP="0017650E">
      <w:pPr>
        <w:pStyle w:val="a4"/>
        <w:numPr>
          <w:ilvl w:val="0"/>
          <w:numId w:val="21"/>
        </w:numPr>
        <w:spacing w:line="360" w:lineRule="auto"/>
        <w:jc w:val="both"/>
        <w:rPr>
          <w:sz w:val="28"/>
          <w:szCs w:val="28"/>
        </w:rPr>
      </w:pPr>
      <w:r w:rsidRPr="00C26AB0">
        <w:rPr>
          <w:rStyle w:val="fadeinpfttw8"/>
          <w:b/>
          <w:bCs/>
          <w:sz w:val="28"/>
          <w:szCs w:val="28"/>
        </w:rPr>
        <w:t>Combine multiple methods</w:t>
      </w:r>
      <w:r w:rsidRPr="00C26AB0">
        <w:rPr>
          <w:rStyle w:val="fadeinpfttw8"/>
          <w:sz w:val="28"/>
          <w:szCs w:val="28"/>
        </w:rPr>
        <w:t>: printed guides, videos, interactive tools, symptom diaries, and Q&amp;A sessions.</w:t>
      </w:r>
    </w:p>
    <w:p w:rsidR="00C26AB0" w:rsidRPr="00C26AB0" w:rsidRDefault="00C26AB0" w:rsidP="0017650E">
      <w:pPr>
        <w:pStyle w:val="a4"/>
        <w:numPr>
          <w:ilvl w:val="0"/>
          <w:numId w:val="21"/>
        </w:numPr>
        <w:spacing w:line="360" w:lineRule="auto"/>
        <w:jc w:val="both"/>
        <w:rPr>
          <w:sz w:val="28"/>
          <w:szCs w:val="28"/>
        </w:rPr>
      </w:pPr>
      <w:r w:rsidRPr="00C26AB0">
        <w:rPr>
          <w:rStyle w:val="fadeinpfttw8"/>
          <w:b/>
          <w:bCs/>
          <w:sz w:val="28"/>
          <w:szCs w:val="28"/>
        </w:rPr>
        <w:t>Deliver education in short, focused segments</w:t>
      </w:r>
      <w:r w:rsidRPr="00C26AB0">
        <w:rPr>
          <w:rStyle w:val="fadeinpfttw8"/>
          <w:sz w:val="28"/>
          <w:szCs w:val="28"/>
        </w:rPr>
        <w:t>: Avoid overwhelming the patient with long, overly technical sessions.</w:t>
      </w:r>
    </w:p>
    <w:p w:rsidR="00C26AB0" w:rsidRPr="00C26AB0" w:rsidRDefault="00C26AB0" w:rsidP="0017650E">
      <w:pPr>
        <w:pStyle w:val="a4"/>
        <w:numPr>
          <w:ilvl w:val="0"/>
          <w:numId w:val="21"/>
        </w:numPr>
        <w:spacing w:line="360" w:lineRule="auto"/>
        <w:jc w:val="both"/>
        <w:rPr>
          <w:sz w:val="28"/>
          <w:szCs w:val="28"/>
        </w:rPr>
      </w:pPr>
      <w:r w:rsidRPr="00C26AB0">
        <w:rPr>
          <w:rStyle w:val="fadeinpfttw8"/>
          <w:b/>
          <w:bCs/>
          <w:sz w:val="28"/>
          <w:szCs w:val="28"/>
        </w:rPr>
        <w:t>Schedule follow-ups</w:t>
      </w:r>
      <w:r w:rsidRPr="00C26AB0">
        <w:rPr>
          <w:rStyle w:val="fadeinpfttw8"/>
          <w:sz w:val="28"/>
          <w:szCs w:val="28"/>
        </w:rPr>
        <w:t>: Reinforcement every 4–6 weeks helps maintain adherence and gives patients space to raise questions that emerge after initial learning.</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As participant 6 in our study noted:</w:t>
      </w:r>
    </w:p>
    <w:p w:rsidR="00C26AB0" w:rsidRPr="00C26AB0" w:rsidRDefault="00C26AB0" w:rsidP="00C26AB0">
      <w:pPr>
        <w:pStyle w:val="a4"/>
        <w:spacing w:line="360" w:lineRule="auto"/>
        <w:jc w:val="both"/>
        <w:rPr>
          <w:sz w:val="28"/>
          <w:szCs w:val="28"/>
        </w:rPr>
      </w:pPr>
      <w:r w:rsidRPr="00C26AB0">
        <w:rPr>
          <w:rStyle w:val="fadeinpfttw8"/>
          <w:sz w:val="28"/>
          <w:szCs w:val="28"/>
        </w:rPr>
        <w:t>“I remembered much more after the second session. It took me some time to process everything.”</w:t>
      </w:r>
    </w:p>
    <w:p w:rsidR="00C26AB0" w:rsidRPr="00C26AB0" w:rsidRDefault="00C26AB0" w:rsidP="00C26AB0">
      <w:pPr>
        <w:pStyle w:val="4"/>
        <w:spacing w:line="360" w:lineRule="auto"/>
        <w:jc w:val="both"/>
        <w:rPr>
          <w:sz w:val="28"/>
          <w:szCs w:val="28"/>
        </w:rPr>
      </w:pPr>
      <w:r w:rsidRPr="00C26AB0">
        <w:rPr>
          <w:rStyle w:val="fadeinpfttw8"/>
          <w:sz w:val="28"/>
          <w:szCs w:val="28"/>
        </w:rPr>
        <w:t>4. Foster Therapeutic Relationships and Continuity</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Trust is a prerequisite for behavioral change. When nurses listen, validate concerns, and follow up consistently, patients are more likely to adhere to therapy. Practical strategies include:</w:t>
      </w:r>
    </w:p>
    <w:p w:rsidR="00C26AB0" w:rsidRPr="00C26AB0" w:rsidRDefault="00C26AB0" w:rsidP="0017650E">
      <w:pPr>
        <w:pStyle w:val="a4"/>
        <w:numPr>
          <w:ilvl w:val="0"/>
          <w:numId w:val="22"/>
        </w:numPr>
        <w:spacing w:line="360" w:lineRule="auto"/>
        <w:jc w:val="both"/>
        <w:rPr>
          <w:sz w:val="28"/>
          <w:szCs w:val="28"/>
        </w:rPr>
      </w:pPr>
      <w:r w:rsidRPr="00C26AB0">
        <w:rPr>
          <w:rStyle w:val="fadeinpfttw8"/>
          <w:b/>
          <w:bCs/>
          <w:sz w:val="28"/>
          <w:szCs w:val="28"/>
        </w:rPr>
        <w:t>Assigning consistent nurse contacts</w:t>
      </w:r>
      <w:r w:rsidRPr="00C26AB0">
        <w:rPr>
          <w:rStyle w:val="fadeinpfttw8"/>
          <w:sz w:val="28"/>
          <w:szCs w:val="28"/>
        </w:rPr>
        <w:t xml:space="preserve"> to patients over time.</w:t>
      </w:r>
    </w:p>
    <w:p w:rsidR="00C26AB0" w:rsidRPr="00C26AB0" w:rsidRDefault="00C26AB0" w:rsidP="0017650E">
      <w:pPr>
        <w:pStyle w:val="a4"/>
        <w:numPr>
          <w:ilvl w:val="0"/>
          <w:numId w:val="22"/>
        </w:numPr>
        <w:spacing w:line="360" w:lineRule="auto"/>
        <w:jc w:val="both"/>
        <w:rPr>
          <w:sz w:val="28"/>
          <w:szCs w:val="28"/>
        </w:rPr>
      </w:pPr>
      <w:r w:rsidRPr="00C26AB0">
        <w:rPr>
          <w:rStyle w:val="fadeinpfttw8"/>
          <w:b/>
          <w:bCs/>
          <w:sz w:val="28"/>
          <w:szCs w:val="28"/>
        </w:rPr>
        <w:t>Training nurses in active listening and motivational interviewing</w:t>
      </w:r>
      <w:r w:rsidRPr="00C26AB0">
        <w:rPr>
          <w:rStyle w:val="fadeinpfttw8"/>
          <w:sz w:val="28"/>
          <w:szCs w:val="28"/>
        </w:rPr>
        <w:t>.</w:t>
      </w:r>
    </w:p>
    <w:p w:rsidR="00C26AB0" w:rsidRPr="00C26AB0" w:rsidRDefault="00C26AB0" w:rsidP="0017650E">
      <w:pPr>
        <w:pStyle w:val="a4"/>
        <w:numPr>
          <w:ilvl w:val="0"/>
          <w:numId w:val="22"/>
        </w:numPr>
        <w:spacing w:line="360" w:lineRule="auto"/>
        <w:jc w:val="both"/>
        <w:rPr>
          <w:sz w:val="28"/>
          <w:szCs w:val="28"/>
        </w:rPr>
      </w:pPr>
      <w:r w:rsidRPr="00C26AB0">
        <w:rPr>
          <w:rStyle w:val="fadeinpfttw8"/>
          <w:b/>
          <w:bCs/>
          <w:sz w:val="28"/>
          <w:szCs w:val="28"/>
        </w:rPr>
        <w:lastRenderedPageBreak/>
        <w:t>Documenting personal barriers</w:t>
      </w:r>
      <w:r w:rsidRPr="00C26AB0">
        <w:rPr>
          <w:rStyle w:val="fadeinpfttw8"/>
          <w:sz w:val="28"/>
          <w:szCs w:val="28"/>
        </w:rPr>
        <w:t xml:space="preserve"> (e.g., shift work, caregiving duties) and building individualized plans.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Incorporating continuity and psychological support into education strengthens engagement, especially for patients struggling with long-term medication use [66].</w:t>
      </w:r>
    </w:p>
    <w:p w:rsidR="00C26AB0" w:rsidRPr="00C26AB0" w:rsidRDefault="00C26AB0" w:rsidP="00C26AB0">
      <w:pPr>
        <w:pStyle w:val="4"/>
        <w:spacing w:line="360" w:lineRule="auto"/>
        <w:jc w:val="both"/>
        <w:rPr>
          <w:sz w:val="28"/>
          <w:szCs w:val="28"/>
        </w:rPr>
      </w:pPr>
      <w:r w:rsidRPr="00C26AB0">
        <w:rPr>
          <w:rStyle w:val="fadeinpfttw8"/>
          <w:sz w:val="28"/>
          <w:szCs w:val="28"/>
        </w:rPr>
        <w:t>5. Tailor Education to Individual Patient Profiles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Not all patients need the same intensity or format of education. Tailoring allows better resource use and more relevant support. Consider:</w:t>
      </w:r>
    </w:p>
    <w:p w:rsidR="00C26AB0" w:rsidRPr="00C26AB0" w:rsidRDefault="00C26AB0" w:rsidP="0017650E">
      <w:pPr>
        <w:pStyle w:val="a4"/>
        <w:numPr>
          <w:ilvl w:val="0"/>
          <w:numId w:val="23"/>
        </w:numPr>
        <w:spacing w:line="360" w:lineRule="auto"/>
        <w:jc w:val="both"/>
        <w:rPr>
          <w:sz w:val="28"/>
          <w:szCs w:val="28"/>
        </w:rPr>
      </w:pPr>
      <w:r w:rsidRPr="00C26AB0">
        <w:rPr>
          <w:rStyle w:val="fadeinpfttw8"/>
          <w:b/>
          <w:bCs/>
          <w:sz w:val="28"/>
          <w:szCs w:val="28"/>
        </w:rPr>
        <w:t>Health literacy</w:t>
      </w:r>
      <w:r w:rsidRPr="00C26AB0">
        <w:rPr>
          <w:rStyle w:val="fadeinpfttw8"/>
          <w:sz w:val="28"/>
          <w:szCs w:val="28"/>
        </w:rPr>
        <w:t>: For patients with limited literacy, use simple diagrams, analogies, and avoid jargon.</w:t>
      </w:r>
    </w:p>
    <w:p w:rsidR="00C26AB0" w:rsidRPr="00C26AB0" w:rsidRDefault="00C26AB0" w:rsidP="0017650E">
      <w:pPr>
        <w:pStyle w:val="a4"/>
        <w:numPr>
          <w:ilvl w:val="0"/>
          <w:numId w:val="23"/>
        </w:numPr>
        <w:spacing w:line="360" w:lineRule="auto"/>
        <w:jc w:val="both"/>
        <w:rPr>
          <w:sz w:val="28"/>
          <w:szCs w:val="28"/>
        </w:rPr>
      </w:pPr>
      <w:r w:rsidRPr="00C26AB0">
        <w:rPr>
          <w:rStyle w:val="fadeinpfttw8"/>
          <w:b/>
          <w:bCs/>
          <w:sz w:val="28"/>
          <w:szCs w:val="28"/>
        </w:rPr>
        <w:t>Age</w:t>
      </w:r>
      <w:r w:rsidRPr="00C26AB0">
        <w:rPr>
          <w:rStyle w:val="fadeinpfttw8"/>
          <w:sz w:val="28"/>
          <w:szCs w:val="28"/>
        </w:rPr>
        <w:t>: Younger patients may respond better to app-based tools and peer group education, whereas older adults may prefer in-person discussions.</w:t>
      </w:r>
    </w:p>
    <w:p w:rsidR="00C26AB0" w:rsidRPr="00C26AB0" w:rsidRDefault="00C26AB0" w:rsidP="0017650E">
      <w:pPr>
        <w:pStyle w:val="a4"/>
        <w:numPr>
          <w:ilvl w:val="0"/>
          <w:numId w:val="23"/>
        </w:numPr>
        <w:spacing w:line="360" w:lineRule="auto"/>
        <w:jc w:val="both"/>
        <w:rPr>
          <w:sz w:val="28"/>
          <w:szCs w:val="28"/>
        </w:rPr>
      </w:pPr>
      <w:r w:rsidRPr="00C26AB0">
        <w:rPr>
          <w:rStyle w:val="fadeinpfttw8"/>
          <w:b/>
          <w:bCs/>
          <w:sz w:val="28"/>
          <w:szCs w:val="28"/>
        </w:rPr>
        <w:t>Psychosocial context</w:t>
      </w:r>
      <w:r w:rsidRPr="00C26AB0">
        <w:rPr>
          <w:rStyle w:val="fadeinpfttw8"/>
          <w:sz w:val="28"/>
          <w:szCs w:val="28"/>
        </w:rPr>
        <w:t>: Identify patients with anxiety, depression, or limited social support early and coordinate with psychological services as needed.</w:t>
      </w:r>
    </w:p>
    <w:p w:rsidR="00C26AB0" w:rsidRPr="00C26AB0" w:rsidRDefault="00C26AB0" w:rsidP="00444C94">
      <w:pPr>
        <w:pStyle w:val="a4"/>
        <w:spacing w:line="360" w:lineRule="auto"/>
        <w:ind w:firstLine="360"/>
        <w:jc w:val="both"/>
        <w:rPr>
          <w:sz w:val="28"/>
          <w:szCs w:val="28"/>
        </w:rPr>
      </w:pPr>
      <w:r w:rsidRPr="00C26AB0">
        <w:rPr>
          <w:rStyle w:val="fadeinpfttw8"/>
          <w:sz w:val="28"/>
          <w:szCs w:val="28"/>
        </w:rPr>
        <w:t xml:space="preserve">Use </w:t>
      </w:r>
      <w:r w:rsidRPr="00C26AB0">
        <w:rPr>
          <w:rStyle w:val="fadeinpfttw8"/>
          <w:b/>
          <w:bCs/>
          <w:sz w:val="28"/>
          <w:szCs w:val="28"/>
        </w:rPr>
        <w:t>assessment tools</w:t>
      </w:r>
      <w:r w:rsidRPr="00C26AB0">
        <w:rPr>
          <w:rStyle w:val="fadeinpfttw8"/>
          <w:sz w:val="28"/>
          <w:szCs w:val="28"/>
        </w:rPr>
        <w:t>, such as the Rapid Estimate of Adult Literacy in Medicine (REALM) or the Newest Vital Sign (NVS), to screen for comprehension barriers [67].</w:t>
      </w:r>
    </w:p>
    <w:p w:rsidR="00C26AB0" w:rsidRPr="00C26AB0" w:rsidRDefault="00C26AB0" w:rsidP="00C26AB0">
      <w:pPr>
        <w:pStyle w:val="4"/>
        <w:spacing w:line="360" w:lineRule="auto"/>
        <w:jc w:val="both"/>
        <w:rPr>
          <w:sz w:val="28"/>
          <w:szCs w:val="28"/>
        </w:rPr>
      </w:pPr>
      <w:r w:rsidRPr="00C26AB0">
        <w:rPr>
          <w:rStyle w:val="fadeinpfttw8"/>
          <w:sz w:val="28"/>
          <w:szCs w:val="28"/>
        </w:rPr>
        <w:t>6. Leverage Technology to Support Adherence</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Digital tools can help extend the reach of nurse-led education and provide continuous support. Based on current trends and patient feedback:</w:t>
      </w:r>
    </w:p>
    <w:p w:rsidR="00C26AB0" w:rsidRPr="00C26AB0" w:rsidRDefault="00C26AB0" w:rsidP="0017650E">
      <w:pPr>
        <w:pStyle w:val="a4"/>
        <w:numPr>
          <w:ilvl w:val="0"/>
          <w:numId w:val="24"/>
        </w:numPr>
        <w:spacing w:line="360" w:lineRule="auto"/>
        <w:jc w:val="both"/>
        <w:rPr>
          <w:sz w:val="28"/>
          <w:szCs w:val="28"/>
        </w:rPr>
      </w:pPr>
      <w:r w:rsidRPr="00C26AB0">
        <w:rPr>
          <w:rStyle w:val="fadeinpfttw8"/>
          <w:b/>
          <w:bCs/>
          <w:sz w:val="28"/>
          <w:szCs w:val="28"/>
        </w:rPr>
        <w:t>Send automated medication reminders via SMS or app notifications</w:t>
      </w:r>
      <w:r w:rsidRPr="00C26AB0">
        <w:rPr>
          <w:rStyle w:val="fadeinpfttw8"/>
          <w:sz w:val="28"/>
          <w:szCs w:val="28"/>
        </w:rPr>
        <w:t>.</w:t>
      </w:r>
    </w:p>
    <w:p w:rsidR="00C26AB0" w:rsidRPr="00C26AB0" w:rsidRDefault="00C26AB0" w:rsidP="0017650E">
      <w:pPr>
        <w:pStyle w:val="a4"/>
        <w:numPr>
          <w:ilvl w:val="0"/>
          <w:numId w:val="24"/>
        </w:numPr>
        <w:spacing w:line="360" w:lineRule="auto"/>
        <w:jc w:val="both"/>
        <w:rPr>
          <w:sz w:val="28"/>
          <w:szCs w:val="28"/>
        </w:rPr>
      </w:pPr>
      <w:r w:rsidRPr="00C26AB0">
        <w:rPr>
          <w:rStyle w:val="fadeinpfttw8"/>
          <w:b/>
          <w:bCs/>
          <w:sz w:val="28"/>
          <w:szCs w:val="28"/>
        </w:rPr>
        <w:t>Provide access to digital educational libraries</w:t>
      </w:r>
      <w:r w:rsidRPr="00C26AB0">
        <w:rPr>
          <w:rStyle w:val="fadeinpfttw8"/>
          <w:sz w:val="28"/>
          <w:szCs w:val="28"/>
        </w:rPr>
        <w:t xml:space="preserve"> (videos, FAQs, glossaries).</w:t>
      </w:r>
    </w:p>
    <w:p w:rsidR="00C26AB0" w:rsidRPr="00C26AB0" w:rsidRDefault="00C26AB0" w:rsidP="0017650E">
      <w:pPr>
        <w:pStyle w:val="a4"/>
        <w:numPr>
          <w:ilvl w:val="0"/>
          <w:numId w:val="24"/>
        </w:numPr>
        <w:spacing w:line="360" w:lineRule="auto"/>
        <w:jc w:val="both"/>
        <w:rPr>
          <w:sz w:val="28"/>
          <w:szCs w:val="28"/>
        </w:rPr>
      </w:pPr>
      <w:r w:rsidRPr="00C26AB0">
        <w:rPr>
          <w:rStyle w:val="fadeinpfttw8"/>
          <w:b/>
          <w:bCs/>
          <w:sz w:val="28"/>
          <w:szCs w:val="28"/>
        </w:rPr>
        <w:t>Incorporate telehealth follow-up sessions</w:t>
      </w:r>
      <w:r w:rsidRPr="00C26AB0">
        <w:rPr>
          <w:rStyle w:val="fadeinpfttw8"/>
          <w:sz w:val="28"/>
          <w:szCs w:val="28"/>
        </w:rPr>
        <w:t>, especially for patients in remote areas or with mobility issues.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Mobile tools have been associated with significant improvements in adherence in other chronic diseases, and preliminary data in IBD shows promising results [68].</w:t>
      </w:r>
    </w:p>
    <w:p w:rsidR="00C26AB0" w:rsidRPr="00C26AB0" w:rsidRDefault="00C26AB0" w:rsidP="00C26AB0">
      <w:pPr>
        <w:pStyle w:val="4"/>
        <w:spacing w:line="360" w:lineRule="auto"/>
        <w:jc w:val="both"/>
        <w:rPr>
          <w:sz w:val="28"/>
          <w:szCs w:val="28"/>
        </w:rPr>
      </w:pPr>
      <w:r w:rsidRPr="00C26AB0">
        <w:rPr>
          <w:rStyle w:val="fadeinpfttw8"/>
          <w:sz w:val="28"/>
          <w:szCs w:val="28"/>
        </w:rPr>
        <w:lastRenderedPageBreak/>
        <w:t>7. Educate and Empower the Nursing Workforce</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To deliver high-quality educational support, nurses themselves must feel confident and competent. Key steps include:</w:t>
      </w:r>
    </w:p>
    <w:p w:rsidR="00C26AB0" w:rsidRPr="00C26AB0" w:rsidRDefault="00C26AB0" w:rsidP="0017650E">
      <w:pPr>
        <w:pStyle w:val="a4"/>
        <w:numPr>
          <w:ilvl w:val="0"/>
          <w:numId w:val="25"/>
        </w:numPr>
        <w:spacing w:line="360" w:lineRule="auto"/>
        <w:jc w:val="both"/>
        <w:rPr>
          <w:sz w:val="28"/>
          <w:szCs w:val="28"/>
        </w:rPr>
      </w:pPr>
      <w:r w:rsidRPr="00C26AB0">
        <w:rPr>
          <w:rStyle w:val="fadeinpfttw8"/>
          <w:b/>
          <w:bCs/>
          <w:sz w:val="28"/>
          <w:szCs w:val="28"/>
        </w:rPr>
        <w:t>Regular training in IBD pathophysiology, treatment updates, and communication techniques</w:t>
      </w:r>
      <w:r w:rsidRPr="00C26AB0">
        <w:rPr>
          <w:rStyle w:val="fadeinpfttw8"/>
          <w:sz w:val="28"/>
          <w:szCs w:val="28"/>
        </w:rPr>
        <w:t>.</w:t>
      </w:r>
    </w:p>
    <w:p w:rsidR="00C26AB0" w:rsidRPr="00C26AB0" w:rsidRDefault="00C26AB0" w:rsidP="0017650E">
      <w:pPr>
        <w:pStyle w:val="a4"/>
        <w:numPr>
          <w:ilvl w:val="0"/>
          <w:numId w:val="25"/>
        </w:numPr>
        <w:spacing w:line="360" w:lineRule="auto"/>
        <w:jc w:val="both"/>
        <w:rPr>
          <w:sz w:val="28"/>
          <w:szCs w:val="28"/>
        </w:rPr>
      </w:pPr>
      <w:r w:rsidRPr="00C26AB0">
        <w:rPr>
          <w:rStyle w:val="fadeinpfttw8"/>
          <w:b/>
          <w:bCs/>
          <w:sz w:val="28"/>
          <w:szCs w:val="28"/>
        </w:rPr>
        <w:t>Workshops on motivational interviewing, stress counseling, and coaching skills</w:t>
      </w:r>
      <w:r w:rsidRPr="00C26AB0">
        <w:rPr>
          <w:rStyle w:val="fadeinpfttw8"/>
          <w:sz w:val="28"/>
          <w:szCs w:val="28"/>
        </w:rPr>
        <w:t>.</w:t>
      </w:r>
    </w:p>
    <w:p w:rsidR="00C26AB0" w:rsidRPr="00C26AB0" w:rsidRDefault="00C26AB0" w:rsidP="0017650E">
      <w:pPr>
        <w:pStyle w:val="a4"/>
        <w:numPr>
          <w:ilvl w:val="0"/>
          <w:numId w:val="25"/>
        </w:numPr>
        <w:spacing w:line="360" w:lineRule="auto"/>
        <w:jc w:val="both"/>
        <w:rPr>
          <w:sz w:val="28"/>
          <w:szCs w:val="28"/>
        </w:rPr>
      </w:pPr>
      <w:r w:rsidRPr="00C26AB0">
        <w:rPr>
          <w:rStyle w:val="fadeinpfttw8"/>
          <w:b/>
          <w:bCs/>
          <w:sz w:val="28"/>
          <w:szCs w:val="28"/>
        </w:rPr>
        <w:t>Incentivize education activities as core nursing tasks</w:t>
      </w:r>
      <w:r w:rsidRPr="00C26AB0">
        <w:rPr>
          <w:rStyle w:val="fadeinpfttw8"/>
          <w:sz w:val="28"/>
          <w:szCs w:val="28"/>
        </w:rPr>
        <w:t>, not “optional extras.”</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Nurses who understand the “why” behind a regimen and the barriers faced by patients are better positioned to problem-solve in real time and adapt their teaching accordingly [69].</w:t>
      </w:r>
    </w:p>
    <w:p w:rsidR="00C26AB0" w:rsidRPr="00C26AB0" w:rsidRDefault="00C26AB0" w:rsidP="00C26AB0">
      <w:pPr>
        <w:pStyle w:val="4"/>
        <w:spacing w:line="360" w:lineRule="auto"/>
        <w:jc w:val="both"/>
        <w:rPr>
          <w:sz w:val="28"/>
          <w:szCs w:val="28"/>
        </w:rPr>
      </w:pPr>
      <w:r w:rsidRPr="00C26AB0">
        <w:rPr>
          <w:rStyle w:val="fadeinpfttw8"/>
          <w:sz w:val="28"/>
          <w:szCs w:val="28"/>
        </w:rPr>
        <w:t>8. Monitor Outcomes and Improve Continuously</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Evaluation is vital for quality assurance. Institutions should develop:</w:t>
      </w:r>
    </w:p>
    <w:p w:rsidR="00C26AB0" w:rsidRPr="00C26AB0" w:rsidRDefault="00C26AB0" w:rsidP="0017650E">
      <w:pPr>
        <w:pStyle w:val="a4"/>
        <w:numPr>
          <w:ilvl w:val="0"/>
          <w:numId w:val="26"/>
        </w:numPr>
        <w:spacing w:line="360" w:lineRule="auto"/>
        <w:jc w:val="both"/>
        <w:rPr>
          <w:sz w:val="28"/>
          <w:szCs w:val="28"/>
        </w:rPr>
      </w:pPr>
      <w:r w:rsidRPr="00C26AB0">
        <w:rPr>
          <w:rStyle w:val="fadeinpfttw8"/>
          <w:b/>
          <w:bCs/>
          <w:sz w:val="28"/>
          <w:szCs w:val="28"/>
        </w:rPr>
        <w:t>Adherence tracking systems</w:t>
      </w:r>
      <w:r w:rsidRPr="00C26AB0">
        <w:rPr>
          <w:rStyle w:val="fadeinpfttw8"/>
          <w:sz w:val="28"/>
          <w:szCs w:val="28"/>
        </w:rPr>
        <w:t>: combining MMAS scores with objective data when possible.</w:t>
      </w:r>
    </w:p>
    <w:p w:rsidR="00C26AB0" w:rsidRPr="00C26AB0" w:rsidRDefault="00C26AB0" w:rsidP="0017650E">
      <w:pPr>
        <w:pStyle w:val="a4"/>
        <w:numPr>
          <w:ilvl w:val="0"/>
          <w:numId w:val="26"/>
        </w:numPr>
        <w:spacing w:line="360" w:lineRule="auto"/>
        <w:jc w:val="both"/>
        <w:rPr>
          <w:sz w:val="28"/>
          <w:szCs w:val="28"/>
        </w:rPr>
      </w:pPr>
      <w:r w:rsidRPr="00C26AB0">
        <w:rPr>
          <w:rStyle w:val="fadeinpfttw8"/>
          <w:b/>
          <w:bCs/>
          <w:sz w:val="28"/>
          <w:szCs w:val="28"/>
        </w:rPr>
        <w:t>Feedback loops</w:t>
      </w:r>
      <w:r w:rsidRPr="00C26AB0">
        <w:rPr>
          <w:rStyle w:val="fadeinpfttw8"/>
          <w:sz w:val="28"/>
          <w:szCs w:val="28"/>
        </w:rPr>
        <w:t>: allow patients to anonymously rate education sessions or suggest improvements.</w:t>
      </w:r>
    </w:p>
    <w:p w:rsidR="00C26AB0" w:rsidRPr="00C26AB0" w:rsidRDefault="00C26AB0" w:rsidP="0017650E">
      <w:pPr>
        <w:pStyle w:val="a4"/>
        <w:numPr>
          <w:ilvl w:val="0"/>
          <w:numId w:val="26"/>
        </w:numPr>
        <w:spacing w:line="360" w:lineRule="auto"/>
        <w:jc w:val="both"/>
        <w:rPr>
          <w:sz w:val="28"/>
          <w:szCs w:val="28"/>
        </w:rPr>
      </w:pPr>
      <w:r w:rsidRPr="00C26AB0">
        <w:rPr>
          <w:rStyle w:val="fadeinpfttw8"/>
          <w:b/>
          <w:bCs/>
          <w:sz w:val="28"/>
          <w:szCs w:val="28"/>
        </w:rPr>
        <w:t>Interdisciplinary collaboration</w:t>
      </w:r>
      <w:r w:rsidRPr="00C26AB0">
        <w:rPr>
          <w:rStyle w:val="fadeinpfttw8"/>
          <w:sz w:val="28"/>
          <w:szCs w:val="28"/>
        </w:rPr>
        <w:t>: coordinate between nurses, gastroenterologists, dietitians, and psychologists to provide holistic care.</w:t>
      </w:r>
    </w:p>
    <w:p w:rsidR="00C26AB0" w:rsidRPr="00C26AB0" w:rsidRDefault="00C26AB0" w:rsidP="00C26AB0">
      <w:pPr>
        <w:pStyle w:val="a4"/>
        <w:spacing w:line="360" w:lineRule="auto"/>
        <w:ind w:firstLine="360"/>
        <w:jc w:val="both"/>
        <w:rPr>
          <w:sz w:val="28"/>
          <w:szCs w:val="28"/>
        </w:rPr>
      </w:pPr>
      <w:r w:rsidRPr="00C26AB0">
        <w:rPr>
          <w:rStyle w:val="fadeinpfttw8"/>
          <w:sz w:val="28"/>
          <w:szCs w:val="28"/>
        </w:rPr>
        <w:t xml:space="preserve">Using </w:t>
      </w:r>
      <w:r w:rsidRPr="00C26AB0">
        <w:rPr>
          <w:rStyle w:val="fadeinpfttw8"/>
          <w:b/>
          <w:bCs/>
          <w:sz w:val="28"/>
          <w:szCs w:val="28"/>
        </w:rPr>
        <w:t>PDSA (Plan-Do-Study-Act)</w:t>
      </w:r>
      <w:r w:rsidRPr="00C26AB0">
        <w:rPr>
          <w:rStyle w:val="fadeinpfttw8"/>
          <w:sz w:val="28"/>
          <w:szCs w:val="28"/>
        </w:rPr>
        <w:t xml:space="preserve"> cycles can help refine the program based on patient needs and staff input [70].</w:t>
      </w:r>
    </w:p>
    <w:p w:rsidR="00C26AB0" w:rsidRPr="00C26AB0" w:rsidRDefault="00C26AB0" w:rsidP="00C26AB0">
      <w:pPr>
        <w:pStyle w:val="3"/>
        <w:spacing w:line="360" w:lineRule="auto"/>
        <w:jc w:val="both"/>
        <w:rPr>
          <w:sz w:val="28"/>
          <w:szCs w:val="28"/>
        </w:rPr>
      </w:pPr>
      <w:r w:rsidRPr="00C26AB0">
        <w:rPr>
          <w:rStyle w:val="fadeinpfttw8"/>
          <w:sz w:val="28"/>
          <w:szCs w:val="28"/>
        </w:rPr>
        <w:t>Summary: Actionable Steps for Nursing Leadership</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39"/>
        <w:gridCol w:w="5227"/>
      </w:tblGrid>
      <w:tr w:rsidR="00C26AB0" w:rsidRPr="00C26AB0" w:rsidTr="00C26AB0">
        <w:trPr>
          <w:tblHeader/>
          <w:tblCellSpacing w:w="15" w:type="dxa"/>
        </w:trPr>
        <w:tc>
          <w:tcPr>
            <w:tcW w:w="0" w:type="auto"/>
            <w:vAlign w:val="center"/>
            <w:hideMark/>
          </w:tcPr>
          <w:p w:rsidR="00C26AB0" w:rsidRPr="00C26AB0" w:rsidRDefault="00C26AB0" w:rsidP="00C26AB0">
            <w:pPr>
              <w:spacing w:line="360" w:lineRule="auto"/>
              <w:jc w:val="both"/>
              <w:rPr>
                <w:b/>
                <w:bCs/>
                <w:sz w:val="28"/>
                <w:szCs w:val="28"/>
              </w:rPr>
            </w:pPr>
            <w:r w:rsidRPr="00C26AB0">
              <w:rPr>
                <w:rStyle w:val="fadeinpfttw8"/>
                <w:b/>
                <w:bCs/>
                <w:sz w:val="28"/>
                <w:szCs w:val="28"/>
              </w:rPr>
              <w:t>Action</w:t>
            </w:r>
          </w:p>
        </w:tc>
        <w:tc>
          <w:tcPr>
            <w:tcW w:w="0" w:type="auto"/>
            <w:vAlign w:val="center"/>
            <w:hideMark/>
          </w:tcPr>
          <w:p w:rsidR="00C26AB0" w:rsidRPr="00C26AB0" w:rsidRDefault="00C26AB0" w:rsidP="00C26AB0">
            <w:pPr>
              <w:spacing w:line="360" w:lineRule="auto"/>
              <w:jc w:val="both"/>
              <w:rPr>
                <w:b/>
                <w:bCs/>
                <w:sz w:val="28"/>
                <w:szCs w:val="28"/>
              </w:rPr>
            </w:pPr>
            <w:r w:rsidRPr="00C26AB0">
              <w:rPr>
                <w:rStyle w:val="fadeinpfttw8"/>
                <w:b/>
                <w:bCs/>
                <w:sz w:val="28"/>
                <w:szCs w:val="28"/>
              </w:rPr>
              <w:t>Outcome</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Create structured IBD nurse educator role</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Consistent, high-quality patient education</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Start education early post-diagnosis</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Better adjustment, faster adoption of self-care</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Use multiple formats and follow-ups</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Improved comprehension and adherence</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lastRenderedPageBreak/>
              <w:t>Personalize based on literacy and lifestyle</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Higher engagement and satisfaction</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Empower nurses through ongoing training</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Improved confidence, retention, and impact</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Integrate digital tools</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Greater reach, especially for younger patients</w:t>
            </w:r>
          </w:p>
        </w:tc>
      </w:tr>
      <w:tr w:rsidR="00C26AB0" w:rsidRPr="00C26AB0" w:rsidTr="00C26AB0">
        <w:trPr>
          <w:tblCellSpacing w:w="15" w:type="dxa"/>
        </w:trPr>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Measure results and adjust</w:t>
            </w:r>
          </w:p>
        </w:tc>
        <w:tc>
          <w:tcPr>
            <w:tcW w:w="0" w:type="auto"/>
            <w:vAlign w:val="center"/>
            <w:hideMark/>
          </w:tcPr>
          <w:p w:rsidR="00C26AB0" w:rsidRPr="00C26AB0" w:rsidRDefault="00C26AB0" w:rsidP="00C26AB0">
            <w:pPr>
              <w:spacing w:line="360" w:lineRule="auto"/>
              <w:jc w:val="both"/>
              <w:rPr>
                <w:sz w:val="28"/>
                <w:szCs w:val="28"/>
              </w:rPr>
            </w:pPr>
            <w:r w:rsidRPr="00C26AB0">
              <w:rPr>
                <w:rStyle w:val="fadeinpfttw8"/>
                <w:sz w:val="28"/>
                <w:szCs w:val="28"/>
              </w:rPr>
              <w:t>Program refinement and sustainability</w:t>
            </w:r>
          </w:p>
        </w:tc>
      </w:tr>
    </w:tbl>
    <w:p w:rsidR="00C26AB0" w:rsidRPr="00C26AB0" w:rsidRDefault="00C26AB0" w:rsidP="00C26AB0">
      <w:pPr>
        <w:spacing w:line="360" w:lineRule="auto"/>
        <w:jc w:val="both"/>
        <w:rPr>
          <w:sz w:val="28"/>
          <w:szCs w:val="28"/>
        </w:rPr>
      </w:pPr>
    </w:p>
    <w:p w:rsidR="00C26AB0" w:rsidRPr="00C26AB0" w:rsidRDefault="00C26AB0" w:rsidP="00C26AB0">
      <w:pPr>
        <w:pStyle w:val="a4"/>
        <w:spacing w:line="360" w:lineRule="auto"/>
        <w:ind w:firstLine="708"/>
        <w:jc w:val="both"/>
        <w:rPr>
          <w:sz w:val="28"/>
          <w:szCs w:val="28"/>
        </w:rPr>
      </w:pPr>
      <w:r w:rsidRPr="00C26AB0">
        <w:rPr>
          <w:rStyle w:val="fadeinpfttw8"/>
          <w:sz w:val="28"/>
          <w:szCs w:val="28"/>
        </w:rPr>
        <w:t>This section provides a blueprint for translating research findings into real-world clinical nursing practice. The recommendations not only aim to improve adherence but also to elevate the standard of patient-centered care in IBD. Investing in structured education programs, supported by well-trained nurses and adaptable tools, offers a sustainable path to long-term disease control and improved quality of life for patients.</w:t>
      </w:r>
    </w:p>
    <w:p w:rsidR="00B2321A" w:rsidRPr="00B2321A" w:rsidRDefault="00B2321A" w:rsidP="00B2321A">
      <w:pPr>
        <w:pStyle w:val="3"/>
        <w:spacing w:line="360" w:lineRule="auto"/>
        <w:jc w:val="both"/>
        <w:rPr>
          <w:sz w:val="28"/>
          <w:szCs w:val="28"/>
        </w:rPr>
      </w:pPr>
      <w:r w:rsidRPr="00B2321A">
        <w:rPr>
          <w:rStyle w:val="fadeinpfttw8"/>
          <w:sz w:val="28"/>
          <w:szCs w:val="28"/>
        </w:rPr>
        <w:t>3.4. Suggestions for Future Research</w:t>
      </w:r>
    </w:p>
    <w:p w:rsidR="00B2321A" w:rsidRPr="00B2321A" w:rsidRDefault="00B2321A" w:rsidP="00B2321A">
      <w:pPr>
        <w:pStyle w:val="a4"/>
        <w:spacing w:line="360" w:lineRule="auto"/>
        <w:ind w:firstLine="708"/>
        <w:jc w:val="both"/>
        <w:rPr>
          <w:sz w:val="28"/>
          <w:szCs w:val="28"/>
        </w:rPr>
      </w:pPr>
      <w:r w:rsidRPr="00B2321A">
        <w:rPr>
          <w:rStyle w:val="fadeinpfttw8"/>
          <w:sz w:val="28"/>
          <w:szCs w:val="28"/>
        </w:rPr>
        <w:t>While this study adds valuable insights to the growing body of literature on patient education and nursing interventions in inflammatory bowel disease (IBD), it simultaneously highlights numerous questions that remain unanswered. Addressing these gaps through future research is critical not only for improving patient outcomes but also for defining the evolving role of nursing within multidisciplinary IBD care. This section outlines key thematic areas, methodological innovations, and strategic directions for advancing knowledge in this field.</w:t>
      </w:r>
    </w:p>
    <w:p w:rsidR="00B2321A" w:rsidRPr="00B2321A" w:rsidRDefault="00B2321A" w:rsidP="00B2321A">
      <w:pPr>
        <w:pStyle w:val="4"/>
        <w:spacing w:line="360" w:lineRule="auto"/>
        <w:jc w:val="both"/>
        <w:rPr>
          <w:sz w:val="28"/>
          <w:szCs w:val="28"/>
        </w:rPr>
      </w:pPr>
      <w:r w:rsidRPr="00B2321A">
        <w:rPr>
          <w:rStyle w:val="fadeinpfttw8"/>
          <w:sz w:val="28"/>
          <w:szCs w:val="28"/>
        </w:rPr>
        <w:t>1. Longitudinal Evaluation of Educational Outcomes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One of the most urgent research needs is to assess the </w:t>
      </w:r>
      <w:r w:rsidRPr="00B2321A">
        <w:rPr>
          <w:rStyle w:val="fadeinpfttw8"/>
          <w:b/>
          <w:bCs/>
          <w:sz w:val="28"/>
          <w:szCs w:val="28"/>
        </w:rPr>
        <w:t>long-term impact</w:t>
      </w:r>
      <w:r w:rsidRPr="00B2321A">
        <w:rPr>
          <w:rStyle w:val="fadeinpfttw8"/>
          <w:sz w:val="28"/>
          <w:szCs w:val="28"/>
        </w:rPr>
        <w:t xml:space="preserve"> of educational interventions on adherence and disease control. While short-term improvements are encouraging, chronic diseases like IBD require lifelong management. Current evidence is insufficient to determine:</w:t>
      </w:r>
    </w:p>
    <w:p w:rsidR="00B2321A" w:rsidRPr="00B2321A" w:rsidRDefault="00B2321A" w:rsidP="0017650E">
      <w:pPr>
        <w:pStyle w:val="a4"/>
        <w:numPr>
          <w:ilvl w:val="0"/>
          <w:numId w:val="27"/>
        </w:numPr>
        <w:spacing w:line="360" w:lineRule="auto"/>
        <w:jc w:val="both"/>
        <w:rPr>
          <w:sz w:val="28"/>
          <w:szCs w:val="28"/>
        </w:rPr>
      </w:pPr>
      <w:r w:rsidRPr="00B2321A">
        <w:rPr>
          <w:rStyle w:val="fadeinpfttw8"/>
          <w:b/>
          <w:bCs/>
          <w:sz w:val="28"/>
          <w:szCs w:val="28"/>
        </w:rPr>
        <w:t>How long the benefits of a single or short-term educational program last</w:t>
      </w:r>
      <w:r w:rsidRPr="00B2321A">
        <w:rPr>
          <w:rStyle w:val="fadeinpfttw8"/>
          <w:sz w:val="28"/>
          <w:szCs w:val="28"/>
        </w:rPr>
        <w:t>.</w:t>
      </w:r>
    </w:p>
    <w:p w:rsidR="00B2321A" w:rsidRPr="00B2321A" w:rsidRDefault="00B2321A" w:rsidP="0017650E">
      <w:pPr>
        <w:pStyle w:val="a4"/>
        <w:numPr>
          <w:ilvl w:val="0"/>
          <w:numId w:val="27"/>
        </w:numPr>
        <w:spacing w:line="360" w:lineRule="auto"/>
        <w:jc w:val="both"/>
        <w:rPr>
          <w:sz w:val="28"/>
          <w:szCs w:val="28"/>
        </w:rPr>
      </w:pPr>
      <w:r w:rsidRPr="00B2321A">
        <w:rPr>
          <w:rStyle w:val="fadeinpfttw8"/>
          <w:b/>
          <w:bCs/>
          <w:sz w:val="28"/>
          <w:szCs w:val="28"/>
        </w:rPr>
        <w:t>Whether periodic “booster” sessions are necessary</w:t>
      </w:r>
      <w:r w:rsidRPr="00B2321A">
        <w:rPr>
          <w:rStyle w:val="fadeinpfttw8"/>
          <w:sz w:val="28"/>
          <w:szCs w:val="28"/>
        </w:rPr>
        <w:t>, and at what intervals.</w:t>
      </w:r>
    </w:p>
    <w:p w:rsidR="00B2321A" w:rsidRPr="00B2321A" w:rsidRDefault="00B2321A" w:rsidP="0017650E">
      <w:pPr>
        <w:pStyle w:val="a4"/>
        <w:numPr>
          <w:ilvl w:val="0"/>
          <w:numId w:val="27"/>
        </w:numPr>
        <w:spacing w:line="360" w:lineRule="auto"/>
        <w:jc w:val="both"/>
        <w:rPr>
          <w:sz w:val="28"/>
          <w:szCs w:val="28"/>
        </w:rPr>
      </w:pPr>
      <w:r w:rsidRPr="00B2321A">
        <w:rPr>
          <w:rStyle w:val="fadeinpfttw8"/>
          <w:b/>
          <w:bCs/>
          <w:sz w:val="28"/>
          <w:szCs w:val="28"/>
        </w:rPr>
        <w:lastRenderedPageBreak/>
        <w:t>How educational outcomes correlate with clinical endpoints</w:t>
      </w:r>
      <w:r w:rsidRPr="00B2321A">
        <w:rPr>
          <w:rStyle w:val="fadeinpfttw8"/>
          <w:sz w:val="28"/>
          <w:szCs w:val="28"/>
        </w:rPr>
        <w:t>, such as flare frequency, hospitalization rates, or surgical interventions.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Future research should employ </w:t>
      </w:r>
      <w:r w:rsidRPr="00B2321A">
        <w:rPr>
          <w:rStyle w:val="fadeinpfttw8"/>
          <w:b/>
          <w:bCs/>
          <w:sz w:val="28"/>
          <w:szCs w:val="28"/>
        </w:rPr>
        <w:t>longitudinal designs</w:t>
      </w:r>
      <w:r w:rsidRPr="00B2321A">
        <w:rPr>
          <w:rStyle w:val="fadeinpfttw8"/>
          <w:sz w:val="28"/>
          <w:szCs w:val="28"/>
        </w:rPr>
        <w:t xml:space="preserve"> (≥12 months) with repeated measures to assess both behavioral and clinical changes over time. Mixed-methods approaches can capture the evolution of patient attitudes, barriers, and motivators throughout the disease trajectory.</w:t>
      </w:r>
    </w:p>
    <w:p w:rsidR="00B2321A" w:rsidRPr="00B2321A" w:rsidRDefault="00B2321A" w:rsidP="0017650E">
      <w:pPr>
        <w:pStyle w:val="4"/>
        <w:numPr>
          <w:ilvl w:val="0"/>
          <w:numId w:val="11"/>
        </w:numPr>
        <w:spacing w:line="360" w:lineRule="auto"/>
        <w:jc w:val="both"/>
        <w:rPr>
          <w:sz w:val="28"/>
          <w:szCs w:val="28"/>
        </w:rPr>
      </w:pPr>
      <w:r w:rsidRPr="00B2321A">
        <w:rPr>
          <w:rStyle w:val="fadeinpfttw8"/>
          <w:sz w:val="28"/>
          <w:szCs w:val="28"/>
        </w:rPr>
        <w:t>Comparative Studies of Educational Modalities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Although multimodal interventions appear most effective, few studies directly compare </w:t>
      </w:r>
      <w:r w:rsidRPr="00B2321A">
        <w:rPr>
          <w:rStyle w:val="fadeinpfttw8"/>
          <w:b/>
          <w:bCs/>
          <w:sz w:val="28"/>
          <w:szCs w:val="28"/>
        </w:rPr>
        <w:t>different methods of delivering education</w:t>
      </w:r>
      <w:r w:rsidRPr="00B2321A">
        <w:rPr>
          <w:rStyle w:val="fadeinpfttw8"/>
          <w:sz w:val="28"/>
          <w:szCs w:val="28"/>
        </w:rPr>
        <w:t>. For example:</w:t>
      </w:r>
    </w:p>
    <w:p w:rsidR="00B2321A" w:rsidRPr="00B2321A" w:rsidRDefault="00B2321A" w:rsidP="0017650E">
      <w:pPr>
        <w:pStyle w:val="a4"/>
        <w:numPr>
          <w:ilvl w:val="0"/>
          <w:numId w:val="28"/>
        </w:numPr>
        <w:spacing w:line="360" w:lineRule="auto"/>
        <w:jc w:val="both"/>
        <w:rPr>
          <w:sz w:val="28"/>
          <w:szCs w:val="28"/>
        </w:rPr>
      </w:pPr>
      <w:r w:rsidRPr="00B2321A">
        <w:rPr>
          <w:rStyle w:val="fadeinpfttw8"/>
          <w:b/>
          <w:bCs/>
          <w:sz w:val="28"/>
          <w:szCs w:val="28"/>
        </w:rPr>
        <w:t>One-on-one vs. group education</w:t>
      </w:r>
    </w:p>
    <w:p w:rsidR="00B2321A" w:rsidRPr="00B2321A" w:rsidRDefault="00B2321A" w:rsidP="0017650E">
      <w:pPr>
        <w:pStyle w:val="a4"/>
        <w:numPr>
          <w:ilvl w:val="0"/>
          <w:numId w:val="28"/>
        </w:numPr>
        <w:spacing w:line="360" w:lineRule="auto"/>
        <w:jc w:val="both"/>
        <w:rPr>
          <w:sz w:val="28"/>
          <w:szCs w:val="28"/>
        </w:rPr>
      </w:pPr>
      <w:r w:rsidRPr="00B2321A">
        <w:rPr>
          <w:rStyle w:val="fadeinpfttw8"/>
          <w:b/>
          <w:bCs/>
          <w:sz w:val="28"/>
          <w:szCs w:val="28"/>
        </w:rPr>
        <w:t>Digital platforms vs. in-person sessions</w:t>
      </w:r>
    </w:p>
    <w:p w:rsidR="00B2321A" w:rsidRPr="00B2321A" w:rsidRDefault="00B2321A" w:rsidP="0017650E">
      <w:pPr>
        <w:pStyle w:val="a4"/>
        <w:numPr>
          <w:ilvl w:val="0"/>
          <w:numId w:val="28"/>
        </w:numPr>
        <w:spacing w:line="360" w:lineRule="auto"/>
        <w:jc w:val="both"/>
        <w:rPr>
          <w:sz w:val="28"/>
          <w:szCs w:val="28"/>
        </w:rPr>
      </w:pPr>
      <w:r w:rsidRPr="00B2321A">
        <w:rPr>
          <w:rStyle w:val="fadeinpfttw8"/>
          <w:b/>
          <w:bCs/>
          <w:sz w:val="28"/>
          <w:szCs w:val="28"/>
        </w:rPr>
        <w:t>Synchronous (live) vs. asynchronous (recorded) learning</w:t>
      </w:r>
    </w:p>
    <w:p w:rsidR="00B2321A" w:rsidRPr="00B2321A" w:rsidRDefault="00B2321A" w:rsidP="0017650E">
      <w:pPr>
        <w:pStyle w:val="a4"/>
        <w:numPr>
          <w:ilvl w:val="0"/>
          <w:numId w:val="28"/>
        </w:numPr>
        <w:spacing w:line="360" w:lineRule="auto"/>
        <w:jc w:val="both"/>
        <w:rPr>
          <w:sz w:val="28"/>
          <w:szCs w:val="28"/>
        </w:rPr>
      </w:pPr>
      <w:r w:rsidRPr="00B2321A">
        <w:rPr>
          <w:rStyle w:val="fadeinpfttw8"/>
          <w:b/>
          <w:bCs/>
          <w:sz w:val="28"/>
          <w:szCs w:val="28"/>
        </w:rPr>
        <w:t>Peer-led vs. nurse-led programs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Research should evaluate not only knowledge retention and adherence outcomes but also </w:t>
      </w:r>
      <w:r w:rsidRPr="00B2321A">
        <w:rPr>
          <w:rStyle w:val="fadeinpfttw8"/>
          <w:b/>
          <w:bCs/>
          <w:sz w:val="28"/>
          <w:szCs w:val="28"/>
        </w:rPr>
        <w:t>patient satisfaction, accessibility, and cost-effectiveness</w:t>
      </w:r>
      <w:r w:rsidRPr="00B2321A">
        <w:rPr>
          <w:rStyle w:val="fadeinpfttw8"/>
          <w:sz w:val="28"/>
          <w:szCs w:val="28"/>
        </w:rPr>
        <w:t>. Stratified analysis by age, diagnosis, and digital literacy would inform personalized intervention models.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A randomized controlled trial comparing nurse-led telehealth education with traditional clinic-based sessions could yield critical insights for expanding access in underserved or rural areas.</w:t>
      </w:r>
    </w:p>
    <w:p w:rsidR="00B2321A" w:rsidRPr="00B2321A" w:rsidRDefault="00B2321A" w:rsidP="00B2321A">
      <w:pPr>
        <w:pStyle w:val="4"/>
        <w:spacing w:line="360" w:lineRule="auto"/>
        <w:jc w:val="both"/>
        <w:rPr>
          <w:sz w:val="28"/>
          <w:szCs w:val="28"/>
        </w:rPr>
      </w:pPr>
      <w:r w:rsidRPr="00B2321A">
        <w:rPr>
          <w:rStyle w:val="fadeinpfttw8"/>
          <w:sz w:val="28"/>
          <w:szCs w:val="28"/>
        </w:rPr>
        <w:t>3. Tailoring Education to Special Populations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Much of the existing IBD research focuses on general adult populations. There is a lack of targeted studies exploring educational needs and responses among:</w:t>
      </w:r>
    </w:p>
    <w:p w:rsidR="00B2321A" w:rsidRPr="00B2321A" w:rsidRDefault="00B2321A" w:rsidP="0017650E">
      <w:pPr>
        <w:pStyle w:val="a4"/>
        <w:numPr>
          <w:ilvl w:val="0"/>
          <w:numId w:val="29"/>
        </w:numPr>
        <w:spacing w:line="360" w:lineRule="auto"/>
        <w:jc w:val="both"/>
        <w:rPr>
          <w:sz w:val="28"/>
          <w:szCs w:val="28"/>
        </w:rPr>
      </w:pPr>
      <w:r w:rsidRPr="00B2321A">
        <w:rPr>
          <w:rStyle w:val="fadeinpfttw8"/>
          <w:b/>
          <w:bCs/>
          <w:sz w:val="28"/>
          <w:szCs w:val="28"/>
        </w:rPr>
        <w:t>Adolescents and young adults (AYA)</w:t>
      </w:r>
      <w:r w:rsidRPr="00B2321A">
        <w:rPr>
          <w:rStyle w:val="fadeinpfttw8"/>
          <w:sz w:val="28"/>
          <w:szCs w:val="28"/>
        </w:rPr>
        <w:t>, who face unique challenges in transition to adult care, treatment responsibility, and disease stigma.</w:t>
      </w:r>
    </w:p>
    <w:p w:rsidR="00B2321A" w:rsidRPr="00B2321A" w:rsidRDefault="00B2321A" w:rsidP="0017650E">
      <w:pPr>
        <w:pStyle w:val="a4"/>
        <w:numPr>
          <w:ilvl w:val="0"/>
          <w:numId w:val="29"/>
        </w:numPr>
        <w:spacing w:line="360" w:lineRule="auto"/>
        <w:jc w:val="both"/>
        <w:rPr>
          <w:sz w:val="28"/>
          <w:szCs w:val="28"/>
        </w:rPr>
      </w:pPr>
      <w:r w:rsidRPr="00B2321A">
        <w:rPr>
          <w:rStyle w:val="fadeinpfttw8"/>
          <w:b/>
          <w:bCs/>
          <w:sz w:val="28"/>
          <w:szCs w:val="28"/>
        </w:rPr>
        <w:lastRenderedPageBreak/>
        <w:t>Older adults</w:t>
      </w:r>
      <w:r w:rsidRPr="00B2321A">
        <w:rPr>
          <w:rStyle w:val="fadeinpfttw8"/>
          <w:sz w:val="28"/>
          <w:szCs w:val="28"/>
        </w:rPr>
        <w:t>, who may have sensory limitations, cognitive impairment, or comorbidities affecting adherence.</w:t>
      </w:r>
    </w:p>
    <w:p w:rsidR="00B2321A" w:rsidRPr="00B2321A" w:rsidRDefault="00B2321A" w:rsidP="0017650E">
      <w:pPr>
        <w:pStyle w:val="a4"/>
        <w:numPr>
          <w:ilvl w:val="0"/>
          <w:numId w:val="29"/>
        </w:numPr>
        <w:spacing w:line="360" w:lineRule="auto"/>
        <w:jc w:val="both"/>
        <w:rPr>
          <w:sz w:val="28"/>
          <w:szCs w:val="28"/>
        </w:rPr>
      </w:pPr>
      <w:r w:rsidRPr="00B2321A">
        <w:rPr>
          <w:rStyle w:val="fadeinpfttw8"/>
          <w:b/>
          <w:bCs/>
          <w:sz w:val="28"/>
          <w:szCs w:val="28"/>
        </w:rPr>
        <w:t>Patients with low health literacy or non-native language status</w:t>
      </w:r>
      <w:r w:rsidRPr="00B2321A">
        <w:rPr>
          <w:rStyle w:val="fadeinpfttw8"/>
          <w:sz w:val="28"/>
          <w:szCs w:val="28"/>
        </w:rPr>
        <w:t>, who may struggle to understand complex medical information.</w:t>
      </w:r>
    </w:p>
    <w:p w:rsidR="00B2321A" w:rsidRPr="00B2321A" w:rsidRDefault="00B2321A" w:rsidP="0017650E">
      <w:pPr>
        <w:pStyle w:val="a4"/>
        <w:numPr>
          <w:ilvl w:val="0"/>
          <w:numId w:val="29"/>
        </w:numPr>
        <w:spacing w:line="360" w:lineRule="auto"/>
        <w:jc w:val="both"/>
        <w:rPr>
          <w:sz w:val="28"/>
          <w:szCs w:val="28"/>
        </w:rPr>
      </w:pPr>
      <w:r w:rsidRPr="00B2321A">
        <w:rPr>
          <w:rStyle w:val="fadeinpfttw8"/>
          <w:b/>
          <w:bCs/>
          <w:sz w:val="28"/>
          <w:szCs w:val="28"/>
        </w:rPr>
        <w:t>Individuals with psychological comorbidities</w:t>
      </w:r>
      <w:r w:rsidRPr="00B2321A">
        <w:rPr>
          <w:rStyle w:val="fadeinpfttw8"/>
          <w:sz w:val="28"/>
          <w:szCs w:val="28"/>
        </w:rPr>
        <w:t>, such as anxiety, depression, or trauma history, that interfere with engagement.</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Future studies should explore </w:t>
      </w:r>
      <w:r w:rsidRPr="00B2321A">
        <w:rPr>
          <w:rStyle w:val="fadeinpfttw8"/>
          <w:b/>
          <w:bCs/>
          <w:sz w:val="28"/>
          <w:szCs w:val="28"/>
        </w:rPr>
        <w:t>culturally sensitive and developmentally appropriate educational tools</w:t>
      </w:r>
      <w:r w:rsidRPr="00B2321A">
        <w:rPr>
          <w:rStyle w:val="fadeinpfttw8"/>
          <w:sz w:val="28"/>
          <w:szCs w:val="28"/>
        </w:rPr>
        <w:t>, as well as the role of caregivers and family systems in supporting patient learning.</w:t>
      </w:r>
    </w:p>
    <w:p w:rsidR="00B2321A" w:rsidRPr="00B2321A" w:rsidRDefault="00B2321A" w:rsidP="00B2321A">
      <w:pPr>
        <w:pStyle w:val="4"/>
        <w:spacing w:line="360" w:lineRule="auto"/>
        <w:jc w:val="both"/>
        <w:rPr>
          <w:sz w:val="28"/>
          <w:szCs w:val="28"/>
        </w:rPr>
      </w:pPr>
      <w:r w:rsidRPr="00B2321A">
        <w:rPr>
          <w:rStyle w:val="fadeinpfttw8"/>
          <w:sz w:val="28"/>
          <w:szCs w:val="28"/>
        </w:rPr>
        <w:t>4. Evaluating Cost-Effectiveness and Resource Allocation</w:t>
      </w:r>
    </w:p>
    <w:p w:rsidR="00B2321A" w:rsidRPr="00B2321A" w:rsidRDefault="00B2321A" w:rsidP="00B2321A">
      <w:pPr>
        <w:pStyle w:val="a4"/>
        <w:spacing w:line="360" w:lineRule="auto"/>
        <w:ind w:firstLine="708"/>
        <w:jc w:val="both"/>
        <w:rPr>
          <w:sz w:val="28"/>
          <w:szCs w:val="28"/>
        </w:rPr>
      </w:pPr>
      <w:r w:rsidRPr="00B2321A">
        <w:rPr>
          <w:rStyle w:val="fadeinpfttw8"/>
          <w:sz w:val="28"/>
          <w:szCs w:val="28"/>
        </w:rPr>
        <w:t xml:space="preserve">Healthcare systems increasingly demand </w:t>
      </w:r>
      <w:r w:rsidRPr="00B2321A">
        <w:rPr>
          <w:rStyle w:val="fadeinpfttw8"/>
          <w:b/>
          <w:bCs/>
          <w:sz w:val="28"/>
          <w:szCs w:val="28"/>
        </w:rPr>
        <w:t>value-based care</w:t>
      </w:r>
      <w:r w:rsidRPr="00B2321A">
        <w:rPr>
          <w:rStyle w:val="fadeinpfttw8"/>
          <w:sz w:val="28"/>
          <w:szCs w:val="28"/>
        </w:rPr>
        <w:t xml:space="preserve">—interventions that improve outcomes while optimizing resources. However, the </w:t>
      </w:r>
      <w:r w:rsidRPr="00B2321A">
        <w:rPr>
          <w:rStyle w:val="fadeinpfttw8"/>
          <w:b/>
          <w:bCs/>
          <w:sz w:val="28"/>
          <w:szCs w:val="28"/>
        </w:rPr>
        <w:t>economic impact of nurse-led education</w:t>
      </w:r>
      <w:r w:rsidRPr="00B2321A">
        <w:rPr>
          <w:rStyle w:val="fadeinpfttw8"/>
          <w:sz w:val="28"/>
          <w:szCs w:val="28"/>
        </w:rPr>
        <w:t xml:space="preserve"> remains underexplored in IBD care.</w:t>
      </w:r>
    </w:p>
    <w:p w:rsidR="00B2321A" w:rsidRPr="00B2321A" w:rsidRDefault="00B2321A" w:rsidP="00B2321A">
      <w:pPr>
        <w:pStyle w:val="a4"/>
        <w:spacing w:line="360" w:lineRule="auto"/>
        <w:jc w:val="both"/>
        <w:rPr>
          <w:sz w:val="28"/>
          <w:szCs w:val="28"/>
        </w:rPr>
      </w:pPr>
      <w:r w:rsidRPr="00B2321A">
        <w:rPr>
          <w:rStyle w:val="fadeinpfttw8"/>
          <w:sz w:val="28"/>
          <w:szCs w:val="28"/>
        </w:rPr>
        <w:t xml:space="preserve">Future research should incorporate </w:t>
      </w:r>
      <w:r w:rsidRPr="00B2321A">
        <w:rPr>
          <w:rStyle w:val="fadeinpfttw8"/>
          <w:b/>
          <w:bCs/>
          <w:sz w:val="28"/>
          <w:szCs w:val="28"/>
        </w:rPr>
        <w:t>cost-effectiveness analysis</w:t>
      </w:r>
      <w:r w:rsidRPr="00B2321A">
        <w:rPr>
          <w:rStyle w:val="fadeinpfttw8"/>
          <w:sz w:val="28"/>
          <w:szCs w:val="28"/>
        </w:rPr>
        <w:t>, comparing:</w:t>
      </w:r>
    </w:p>
    <w:p w:rsidR="00B2321A" w:rsidRPr="00B2321A" w:rsidRDefault="00B2321A" w:rsidP="0017650E">
      <w:pPr>
        <w:pStyle w:val="a4"/>
        <w:numPr>
          <w:ilvl w:val="0"/>
          <w:numId w:val="30"/>
        </w:numPr>
        <w:spacing w:line="360" w:lineRule="auto"/>
        <w:jc w:val="both"/>
        <w:rPr>
          <w:sz w:val="28"/>
          <w:szCs w:val="28"/>
        </w:rPr>
      </w:pPr>
      <w:r w:rsidRPr="00B2321A">
        <w:rPr>
          <w:rStyle w:val="fadeinpfttw8"/>
          <w:sz w:val="28"/>
          <w:szCs w:val="28"/>
        </w:rPr>
        <w:t>Cost per unit improvement in adherence (e.g., per 1-point MMAS-8 increase)</w:t>
      </w:r>
    </w:p>
    <w:p w:rsidR="00B2321A" w:rsidRPr="00B2321A" w:rsidRDefault="00B2321A" w:rsidP="0017650E">
      <w:pPr>
        <w:pStyle w:val="a4"/>
        <w:numPr>
          <w:ilvl w:val="0"/>
          <w:numId w:val="30"/>
        </w:numPr>
        <w:spacing w:line="360" w:lineRule="auto"/>
        <w:jc w:val="both"/>
        <w:rPr>
          <w:sz w:val="28"/>
          <w:szCs w:val="28"/>
        </w:rPr>
      </w:pPr>
      <w:r w:rsidRPr="00B2321A">
        <w:rPr>
          <w:rStyle w:val="fadeinpfttw8"/>
          <w:sz w:val="28"/>
          <w:szCs w:val="28"/>
        </w:rPr>
        <w:t>Cost per prevented hospitalization or emergency visit</w:t>
      </w:r>
    </w:p>
    <w:p w:rsidR="00B2321A" w:rsidRPr="00B2321A" w:rsidRDefault="00B2321A" w:rsidP="0017650E">
      <w:pPr>
        <w:pStyle w:val="a4"/>
        <w:numPr>
          <w:ilvl w:val="0"/>
          <w:numId w:val="30"/>
        </w:numPr>
        <w:spacing w:line="360" w:lineRule="auto"/>
        <w:jc w:val="both"/>
        <w:rPr>
          <w:sz w:val="28"/>
          <w:szCs w:val="28"/>
        </w:rPr>
      </w:pPr>
      <w:r w:rsidRPr="00B2321A">
        <w:rPr>
          <w:rStyle w:val="fadeinpfttw8"/>
          <w:sz w:val="28"/>
          <w:szCs w:val="28"/>
        </w:rPr>
        <w:t>Nurse time investment vs. pharmacological cost savings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Such studies would support the case for </w:t>
      </w:r>
      <w:r w:rsidRPr="00B2321A">
        <w:rPr>
          <w:rStyle w:val="fadeinpfttw8"/>
          <w:b/>
          <w:bCs/>
          <w:sz w:val="28"/>
          <w:szCs w:val="28"/>
        </w:rPr>
        <w:t>institutional investment</w:t>
      </w:r>
      <w:r w:rsidRPr="00B2321A">
        <w:rPr>
          <w:rStyle w:val="fadeinpfttw8"/>
          <w:sz w:val="28"/>
          <w:szCs w:val="28"/>
        </w:rPr>
        <w:t xml:space="preserve"> in structured educational programs and specialized nursing roles. Economic modeling could also explore </w:t>
      </w:r>
      <w:r w:rsidRPr="00B2321A">
        <w:rPr>
          <w:rStyle w:val="fadeinpfttw8"/>
          <w:b/>
          <w:bCs/>
          <w:sz w:val="28"/>
          <w:szCs w:val="28"/>
        </w:rPr>
        <w:t>scaling digital tools</w:t>
      </w:r>
      <w:r w:rsidRPr="00B2321A">
        <w:rPr>
          <w:rStyle w:val="fadeinpfttw8"/>
          <w:sz w:val="28"/>
          <w:szCs w:val="28"/>
        </w:rPr>
        <w:t xml:space="preserve"> across large populations with minimal marginal cost.</w:t>
      </w:r>
    </w:p>
    <w:p w:rsidR="00B2321A" w:rsidRPr="00B2321A" w:rsidRDefault="00B2321A" w:rsidP="00B2321A">
      <w:pPr>
        <w:pStyle w:val="4"/>
        <w:spacing w:line="360" w:lineRule="auto"/>
        <w:jc w:val="both"/>
        <w:rPr>
          <w:sz w:val="28"/>
          <w:szCs w:val="28"/>
        </w:rPr>
      </w:pPr>
      <w:r w:rsidRPr="00B2321A">
        <w:rPr>
          <w:rStyle w:val="fadeinpfttw8"/>
          <w:sz w:val="28"/>
          <w:szCs w:val="28"/>
        </w:rPr>
        <w:t>5. Interdisciplinary Collaboration and System-Level Research</w:t>
      </w:r>
    </w:p>
    <w:p w:rsidR="00B2321A" w:rsidRPr="00B2321A" w:rsidRDefault="00B2321A" w:rsidP="00B2321A">
      <w:pPr>
        <w:pStyle w:val="a4"/>
        <w:spacing w:line="360" w:lineRule="auto"/>
        <w:ind w:firstLine="708"/>
        <w:jc w:val="both"/>
        <w:rPr>
          <w:sz w:val="28"/>
          <w:szCs w:val="28"/>
        </w:rPr>
      </w:pPr>
      <w:r w:rsidRPr="00B2321A">
        <w:rPr>
          <w:rStyle w:val="fadeinpfttw8"/>
          <w:sz w:val="28"/>
          <w:szCs w:val="28"/>
        </w:rPr>
        <w:t xml:space="preserve">Most studies, including ours, focus on nurse-patient interactions. However, true patient-centered care in IBD requires </w:t>
      </w:r>
      <w:r w:rsidRPr="00B2321A">
        <w:rPr>
          <w:rStyle w:val="fadeinpfttw8"/>
          <w:b/>
          <w:bCs/>
          <w:sz w:val="28"/>
          <w:szCs w:val="28"/>
        </w:rPr>
        <w:t>interdisciplinary collaboration</w:t>
      </w:r>
      <w:r w:rsidRPr="00B2321A">
        <w:rPr>
          <w:rStyle w:val="fadeinpfttw8"/>
          <w:sz w:val="28"/>
          <w:szCs w:val="28"/>
        </w:rPr>
        <w:t>, including gastroenterologists, dietitians, psychologists, and pharmacists.</w:t>
      </w:r>
    </w:p>
    <w:p w:rsidR="00B2321A" w:rsidRPr="00B2321A" w:rsidRDefault="00B2321A" w:rsidP="00B2321A">
      <w:pPr>
        <w:pStyle w:val="a4"/>
        <w:spacing w:line="360" w:lineRule="auto"/>
        <w:jc w:val="both"/>
        <w:rPr>
          <w:sz w:val="28"/>
          <w:szCs w:val="28"/>
        </w:rPr>
      </w:pPr>
      <w:r w:rsidRPr="00B2321A">
        <w:rPr>
          <w:rStyle w:val="fadeinpfttw8"/>
          <w:sz w:val="28"/>
          <w:szCs w:val="28"/>
        </w:rPr>
        <w:t>Future research could examine:</w:t>
      </w:r>
    </w:p>
    <w:p w:rsidR="00B2321A" w:rsidRPr="00B2321A" w:rsidRDefault="00B2321A" w:rsidP="0017650E">
      <w:pPr>
        <w:pStyle w:val="a4"/>
        <w:numPr>
          <w:ilvl w:val="0"/>
          <w:numId w:val="31"/>
        </w:numPr>
        <w:spacing w:line="360" w:lineRule="auto"/>
        <w:jc w:val="both"/>
        <w:rPr>
          <w:sz w:val="28"/>
          <w:szCs w:val="28"/>
        </w:rPr>
      </w:pPr>
      <w:r w:rsidRPr="00B2321A">
        <w:rPr>
          <w:rStyle w:val="fadeinpfttw8"/>
          <w:b/>
          <w:bCs/>
          <w:sz w:val="28"/>
          <w:szCs w:val="28"/>
        </w:rPr>
        <w:lastRenderedPageBreak/>
        <w:t>How team-based care models affect educational effectiveness and adherence</w:t>
      </w:r>
    </w:p>
    <w:p w:rsidR="00B2321A" w:rsidRPr="00B2321A" w:rsidRDefault="00B2321A" w:rsidP="0017650E">
      <w:pPr>
        <w:pStyle w:val="a4"/>
        <w:numPr>
          <w:ilvl w:val="0"/>
          <w:numId w:val="31"/>
        </w:numPr>
        <w:spacing w:line="360" w:lineRule="auto"/>
        <w:jc w:val="both"/>
        <w:rPr>
          <w:sz w:val="28"/>
          <w:szCs w:val="28"/>
        </w:rPr>
      </w:pPr>
      <w:r w:rsidRPr="00B2321A">
        <w:rPr>
          <w:rStyle w:val="fadeinpfttw8"/>
          <w:b/>
          <w:bCs/>
          <w:sz w:val="28"/>
          <w:szCs w:val="28"/>
        </w:rPr>
        <w:t>Optimal communication strategies among providers to reinforce consistent messages</w:t>
      </w:r>
    </w:p>
    <w:p w:rsidR="00B2321A" w:rsidRPr="00B2321A" w:rsidRDefault="00B2321A" w:rsidP="0017650E">
      <w:pPr>
        <w:pStyle w:val="a4"/>
        <w:numPr>
          <w:ilvl w:val="0"/>
          <w:numId w:val="31"/>
        </w:numPr>
        <w:spacing w:line="360" w:lineRule="auto"/>
        <w:jc w:val="both"/>
        <w:rPr>
          <w:sz w:val="28"/>
          <w:szCs w:val="28"/>
        </w:rPr>
      </w:pPr>
      <w:r w:rsidRPr="00B2321A">
        <w:rPr>
          <w:rStyle w:val="fadeinpfttw8"/>
          <w:b/>
          <w:bCs/>
          <w:sz w:val="28"/>
          <w:szCs w:val="28"/>
        </w:rPr>
        <w:t>Organizational policies that support or hinder nurse-led education</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System-level research might explore </w:t>
      </w:r>
      <w:r w:rsidRPr="00B2321A">
        <w:rPr>
          <w:rStyle w:val="fadeinpfttw8"/>
          <w:b/>
          <w:bCs/>
          <w:sz w:val="28"/>
          <w:szCs w:val="28"/>
        </w:rPr>
        <w:t>institutional readiness</w:t>
      </w:r>
      <w:r w:rsidRPr="00B2321A">
        <w:rPr>
          <w:rStyle w:val="fadeinpfttw8"/>
          <w:sz w:val="28"/>
          <w:szCs w:val="28"/>
        </w:rPr>
        <w:t xml:space="preserve"> for implementing structured education—examining infrastructure, leadership support, workload distribution, and electronic health record (EHR) integration of educational documentation.</w:t>
      </w:r>
    </w:p>
    <w:p w:rsidR="00B2321A" w:rsidRPr="00B2321A" w:rsidRDefault="00B2321A" w:rsidP="00B2321A">
      <w:pPr>
        <w:pStyle w:val="4"/>
        <w:spacing w:line="360" w:lineRule="auto"/>
        <w:jc w:val="both"/>
        <w:rPr>
          <w:sz w:val="28"/>
          <w:szCs w:val="28"/>
        </w:rPr>
      </w:pPr>
      <w:r w:rsidRPr="00B2321A">
        <w:rPr>
          <w:rStyle w:val="fadeinpfttw8"/>
          <w:sz w:val="28"/>
          <w:szCs w:val="28"/>
        </w:rPr>
        <w:t>6. Development and Validation of New Assessment Tools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While MMAS-8 and other standard adherence tools are widely used, they may not fully capture the </w:t>
      </w:r>
      <w:r w:rsidRPr="00B2321A">
        <w:rPr>
          <w:rStyle w:val="fadeinpfttw8"/>
          <w:b/>
          <w:bCs/>
          <w:sz w:val="28"/>
          <w:szCs w:val="28"/>
        </w:rPr>
        <w:t>nuances of adherence in IBD</w:t>
      </w:r>
      <w:r w:rsidRPr="00B2321A">
        <w:rPr>
          <w:rStyle w:val="fadeinpfttw8"/>
          <w:sz w:val="28"/>
          <w:szCs w:val="28"/>
        </w:rPr>
        <w:t>, especially regarding:</w:t>
      </w:r>
    </w:p>
    <w:p w:rsidR="00B2321A" w:rsidRPr="00B2321A" w:rsidRDefault="00B2321A" w:rsidP="0017650E">
      <w:pPr>
        <w:pStyle w:val="a4"/>
        <w:numPr>
          <w:ilvl w:val="0"/>
          <w:numId w:val="32"/>
        </w:numPr>
        <w:spacing w:line="360" w:lineRule="auto"/>
        <w:jc w:val="both"/>
        <w:rPr>
          <w:sz w:val="28"/>
          <w:szCs w:val="28"/>
        </w:rPr>
      </w:pPr>
      <w:r w:rsidRPr="00B2321A">
        <w:rPr>
          <w:rStyle w:val="fadeinpfttw8"/>
          <w:sz w:val="28"/>
          <w:szCs w:val="28"/>
        </w:rPr>
        <w:t>Adherence to multiple medications (mesalamine, biologics, immunomodulators)</w:t>
      </w:r>
    </w:p>
    <w:p w:rsidR="00B2321A" w:rsidRPr="00B2321A" w:rsidRDefault="00B2321A" w:rsidP="0017650E">
      <w:pPr>
        <w:pStyle w:val="a4"/>
        <w:numPr>
          <w:ilvl w:val="0"/>
          <w:numId w:val="32"/>
        </w:numPr>
        <w:spacing w:line="360" w:lineRule="auto"/>
        <w:jc w:val="both"/>
        <w:rPr>
          <w:sz w:val="28"/>
          <w:szCs w:val="28"/>
        </w:rPr>
      </w:pPr>
      <w:r w:rsidRPr="00B2321A">
        <w:rPr>
          <w:rStyle w:val="fadeinpfttw8"/>
          <w:sz w:val="28"/>
          <w:szCs w:val="28"/>
        </w:rPr>
        <w:t>Fluctuating patterns (e.g., stopping treatment during remission)</w:t>
      </w:r>
    </w:p>
    <w:p w:rsidR="00B2321A" w:rsidRPr="00B2321A" w:rsidRDefault="00B2321A" w:rsidP="0017650E">
      <w:pPr>
        <w:pStyle w:val="a4"/>
        <w:numPr>
          <w:ilvl w:val="0"/>
          <w:numId w:val="32"/>
        </w:numPr>
        <w:spacing w:line="360" w:lineRule="auto"/>
        <w:jc w:val="both"/>
        <w:rPr>
          <w:sz w:val="28"/>
          <w:szCs w:val="28"/>
        </w:rPr>
      </w:pPr>
      <w:r w:rsidRPr="00B2321A">
        <w:rPr>
          <w:rStyle w:val="fadeinpfttw8"/>
          <w:sz w:val="28"/>
          <w:szCs w:val="28"/>
        </w:rPr>
        <w:t>Behavioral compensation (e.g., adjusting diet in place of medication)</w:t>
      </w:r>
    </w:p>
    <w:p w:rsidR="00B2321A" w:rsidRPr="00B2321A" w:rsidRDefault="00B2321A" w:rsidP="00B2321A">
      <w:pPr>
        <w:pStyle w:val="a4"/>
        <w:spacing w:line="360" w:lineRule="auto"/>
        <w:jc w:val="both"/>
        <w:rPr>
          <w:sz w:val="28"/>
          <w:szCs w:val="28"/>
        </w:rPr>
      </w:pPr>
      <w:r w:rsidRPr="00B2321A">
        <w:rPr>
          <w:rStyle w:val="fadeinpfttw8"/>
          <w:sz w:val="28"/>
          <w:szCs w:val="28"/>
        </w:rPr>
        <w:t>Future research should focus on:</w:t>
      </w:r>
    </w:p>
    <w:p w:rsidR="00B2321A" w:rsidRPr="00B2321A" w:rsidRDefault="00B2321A" w:rsidP="0017650E">
      <w:pPr>
        <w:pStyle w:val="a4"/>
        <w:numPr>
          <w:ilvl w:val="0"/>
          <w:numId w:val="33"/>
        </w:numPr>
        <w:spacing w:line="360" w:lineRule="auto"/>
        <w:jc w:val="both"/>
        <w:rPr>
          <w:sz w:val="28"/>
          <w:szCs w:val="28"/>
        </w:rPr>
      </w:pPr>
      <w:r w:rsidRPr="00B2321A">
        <w:rPr>
          <w:rStyle w:val="fadeinpfttw8"/>
          <w:b/>
          <w:bCs/>
          <w:sz w:val="28"/>
          <w:szCs w:val="28"/>
        </w:rPr>
        <w:t>Developing disease-specific adherence tools</w:t>
      </w:r>
      <w:r w:rsidRPr="00B2321A">
        <w:rPr>
          <w:rStyle w:val="fadeinpfttw8"/>
          <w:sz w:val="28"/>
          <w:szCs w:val="28"/>
        </w:rPr>
        <w:t xml:space="preserve"> for IBD</w:t>
      </w:r>
    </w:p>
    <w:p w:rsidR="00B2321A" w:rsidRPr="00B2321A" w:rsidRDefault="00B2321A" w:rsidP="0017650E">
      <w:pPr>
        <w:pStyle w:val="a4"/>
        <w:numPr>
          <w:ilvl w:val="0"/>
          <w:numId w:val="33"/>
        </w:numPr>
        <w:spacing w:line="360" w:lineRule="auto"/>
        <w:jc w:val="both"/>
        <w:rPr>
          <w:sz w:val="28"/>
          <w:szCs w:val="28"/>
        </w:rPr>
      </w:pPr>
      <w:r w:rsidRPr="00B2321A">
        <w:rPr>
          <w:rStyle w:val="fadeinpfttw8"/>
          <w:b/>
          <w:bCs/>
          <w:sz w:val="28"/>
          <w:szCs w:val="28"/>
        </w:rPr>
        <w:t>Combining subjective (self-report) and objective (e.g., refill tracking) metrics</w:t>
      </w:r>
    </w:p>
    <w:p w:rsidR="00B2321A" w:rsidRPr="00B2321A" w:rsidRDefault="00B2321A" w:rsidP="0017650E">
      <w:pPr>
        <w:pStyle w:val="a4"/>
        <w:numPr>
          <w:ilvl w:val="0"/>
          <w:numId w:val="33"/>
        </w:numPr>
        <w:spacing w:line="360" w:lineRule="auto"/>
        <w:jc w:val="both"/>
        <w:rPr>
          <w:sz w:val="28"/>
          <w:szCs w:val="28"/>
        </w:rPr>
      </w:pPr>
      <w:r w:rsidRPr="00B2321A">
        <w:rPr>
          <w:rStyle w:val="fadeinpfttw8"/>
          <w:b/>
          <w:bCs/>
          <w:sz w:val="28"/>
          <w:szCs w:val="28"/>
        </w:rPr>
        <w:t>Assessing functional health literacy</w:t>
      </w:r>
      <w:r w:rsidRPr="00B2321A">
        <w:rPr>
          <w:rStyle w:val="fadeinpfttw8"/>
          <w:sz w:val="28"/>
          <w:szCs w:val="28"/>
        </w:rPr>
        <w:t xml:space="preserve"> in ways that reflect IBD-specific knowledge needs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Tools should also be translated, culturally adapted, and validated in multiple languages to support international collaboration.</w:t>
      </w:r>
    </w:p>
    <w:p w:rsidR="00B2321A" w:rsidRPr="00B2321A" w:rsidRDefault="00B2321A" w:rsidP="00B2321A">
      <w:pPr>
        <w:pStyle w:val="4"/>
        <w:spacing w:line="360" w:lineRule="auto"/>
        <w:jc w:val="both"/>
        <w:rPr>
          <w:sz w:val="28"/>
          <w:szCs w:val="28"/>
        </w:rPr>
      </w:pPr>
      <w:r w:rsidRPr="00B2321A">
        <w:rPr>
          <w:rStyle w:val="fadeinpfttw8"/>
          <w:sz w:val="28"/>
          <w:szCs w:val="28"/>
        </w:rPr>
        <w:t>7. Exploring the Psychological Impact of Education</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Education is not only about transferring knowledge—it also supports </w:t>
      </w:r>
      <w:r w:rsidRPr="00B2321A">
        <w:rPr>
          <w:rStyle w:val="fadeinpfttw8"/>
          <w:b/>
          <w:bCs/>
          <w:sz w:val="28"/>
          <w:szCs w:val="28"/>
        </w:rPr>
        <w:t>emotional regulation, identity integration, and coping</w:t>
      </w:r>
      <w:r w:rsidRPr="00B2321A">
        <w:rPr>
          <w:rStyle w:val="fadeinpfttw8"/>
          <w:sz w:val="28"/>
          <w:szCs w:val="28"/>
        </w:rPr>
        <w:t xml:space="preserve">. Future research can delve deeper into the </w:t>
      </w:r>
      <w:r w:rsidRPr="00B2321A">
        <w:rPr>
          <w:rStyle w:val="fadeinpfttw8"/>
          <w:b/>
          <w:bCs/>
          <w:sz w:val="28"/>
          <w:szCs w:val="28"/>
        </w:rPr>
        <w:t>psychological dimensions</w:t>
      </w:r>
      <w:r w:rsidRPr="00B2321A">
        <w:rPr>
          <w:rStyle w:val="fadeinpfttw8"/>
          <w:sz w:val="28"/>
          <w:szCs w:val="28"/>
        </w:rPr>
        <w:t xml:space="preserve"> of educational interventions, including:</w:t>
      </w:r>
    </w:p>
    <w:p w:rsidR="00B2321A" w:rsidRPr="00B2321A" w:rsidRDefault="00B2321A" w:rsidP="0017650E">
      <w:pPr>
        <w:pStyle w:val="a4"/>
        <w:numPr>
          <w:ilvl w:val="0"/>
          <w:numId w:val="34"/>
        </w:numPr>
        <w:spacing w:line="360" w:lineRule="auto"/>
        <w:jc w:val="both"/>
        <w:rPr>
          <w:sz w:val="28"/>
          <w:szCs w:val="28"/>
        </w:rPr>
      </w:pPr>
      <w:r w:rsidRPr="00B2321A">
        <w:rPr>
          <w:rStyle w:val="fadeinpfttw8"/>
          <w:sz w:val="28"/>
          <w:szCs w:val="28"/>
        </w:rPr>
        <w:lastRenderedPageBreak/>
        <w:t>Reduction of illness-related anxiety</w:t>
      </w:r>
    </w:p>
    <w:p w:rsidR="00B2321A" w:rsidRPr="00B2321A" w:rsidRDefault="00B2321A" w:rsidP="0017650E">
      <w:pPr>
        <w:pStyle w:val="a4"/>
        <w:numPr>
          <w:ilvl w:val="0"/>
          <w:numId w:val="34"/>
        </w:numPr>
        <w:spacing w:line="360" w:lineRule="auto"/>
        <w:jc w:val="both"/>
        <w:rPr>
          <w:sz w:val="28"/>
          <w:szCs w:val="28"/>
        </w:rPr>
      </w:pPr>
      <w:r w:rsidRPr="00B2321A">
        <w:rPr>
          <w:rStyle w:val="fadeinpfttw8"/>
          <w:sz w:val="28"/>
          <w:szCs w:val="28"/>
        </w:rPr>
        <w:t>Improved self-efficacy</w:t>
      </w:r>
    </w:p>
    <w:p w:rsidR="00B2321A" w:rsidRPr="00B2321A" w:rsidRDefault="00B2321A" w:rsidP="0017650E">
      <w:pPr>
        <w:pStyle w:val="a4"/>
        <w:numPr>
          <w:ilvl w:val="0"/>
          <w:numId w:val="34"/>
        </w:numPr>
        <w:spacing w:line="360" w:lineRule="auto"/>
        <w:jc w:val="both"/>
        <w:rPr>
          <w:sz w:val="28"/>
          <w:szCs w:val="28"/>
        </w:rPr>
      </w:pPr>
      <w:r w:rsidRPr="00B2321A">
        <w:rPr>
          <w:rStyle w:val="fadeinpfttw8"/>
          <w:sz w:val="28"/>
          <w:szCs w:val="28"/>
        </w:rPr>
        <w:t>Internalization of the “chronic patient” identity</w:t>
      </w:r>
    </w:p>
    <w:p w:rsidR="00B2321A" w:rsidRPr="00B2321A" w:rsidRDefault="00B2321A" w:rsidP="0017650E">
      <w:pPr>
        <w:pStyle w:val="a4"/>
        <w:numPr>
          <w:ilvl w:val="0"/>
          <w:numId w:val="34"/>
        </w:numPr>
        <w:spacing w:line="360" w:lineRule="auto"/>
        <w:jc w:val="both"/>
        <w:rPr>
          <w:sz w:val="28"/>
          <w:szCs w:val="28"/>
        </w:rPr>
      </w:pPr>
      <w:r w:rsidRPr="00B2321A">
        <w:rPr>
          <w:rStyle w:val="fadeinpfttw8"/>
          <w:sz w:val="28"/>
          <w:szCs w:val="28"/>
        </w:rPr>
        <w:t>Social connectedness through peer education models</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Studies may combine </w:t>
      </w:r>
      <w:r w:rsidRPr="00B2321A">
        <w:rPr>
          <w:rStyle w:val="fadeinpfttw8"/>
          <w:b/>
          <w:bCs/>
          <w:sz w:val="28"/>
          <w:szCs w:val="28"/>
        </w:rPr>
        <w:t>quantitative tools (e.g., GAD-7, IBD-Q)</w:t>
      </w:r>
      <w:r w:rsidRPr="00B2321A">
        <w:rPr>
          <w:rStyle w:val="fadeinpfttw8"/>
          <w:sz w:val="28"/>
          <w:szCs w:val="28"/>
        </w:rPr>
        <w:t xml:space="preserve"> with qualitative narratives to better understand the </w:t>
      </w:r>
      <w:r w:rsidRPr="00B2321A">
        <w:rPr>
          <w:rStyle w:val="fadeinpfttw8"/>
          <w:b/>
          <w:bCs/>
          <w:sz w:val="28"/>
          <w:szCs w:val="28"/>
        </w:rPr>
        <w:t>emotional transformation</w:t>
      </w:r>
      <w:r w:rsidRPr="00B2321A">
        <w:rPr>
          <w:rStyle w:val="fadeinpfttw8"/>
          <w:sz w:val="28"/>
          <w:szCs w:val="28"/>
        </w:rPr>
        <w:t xml:space="preserve"> education can trigger.</w:t>
      </w:r>
    </w:p>
    <w:p w:rsidR="00B2321A" w:rsidRPr="00B2321A" w:rsidRDefault="00B2321A" w:rsidP="00B2321A">
      <w:pPr>
        <w:pStyle w:val="4"/>
        <w:spacing w:line="360" w:lineRule="auto"/>
        <w:jc w:val="both"/>
        <w:rPr>
          <w:sz w:val="28"/>
          <w:szCs w:val="28"/>
        </w:rPr>
      </w:pPr>
      <w:r w:rsidRPr="00B2321A">
        <w:rPr>
          <w:rStyle w:val="fadeinpfttw8"/>
          <w:sz w:val="28"/>
          <w:szCs w:val="28"/>
        </w:rPr>
        <w:t>8. Implementation Science: From Research to Practice</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Even effective interventions often fail to scale due to poor implementation. Future work in </w:t>
      </w:r>
      <w:r w:rsidRPr="00B2321A">
        <w:rPr>
          <w:rStyle w:val="fadeinpfttw8"/>
          <w:b/>
          <w:bCs/>
          <w:sz w:val="28"/>
          <w:szCs w:val="28"/>
        </w:rPr>
        <w:t>implementation science</w:t>
      </w:r>
      <w:r w:rsidRPr="00B2321A">
        <w:rPr>
          <w:rStyle w:val="fadeinpfttw8"/>
          <w:sz w:val="28"/>
          <w:szCs w:val="28"/>
        </w:rPr>
        <w:t xml:space="preserve"> should:</w:t>
      </w:r>
    </w:p>
    <w:p w:rsidR="00B2321A" w:rsidRPr="00B2321A" w:rsidRDefault="00B2321A" w:rsidP="0017650E">
      <w:pPr>
        <w:pStyle w:val="a4"/>
        <w:numPr>
          <w:ilvl w:val="0"/>
          <w:numId w:val="35"/>
        </w:numPr>
        <w:spacing w:line="360" w:lineRule="auto"/>
        <w:jc w:val="both"/>
        <w:rPr>
          <w:sz w:val="28"/>
          <w:szCs w:val="28"/>
        </w:rPr>
      </w:pPr>
      <w:r w:rsidRPr="00B2321A">
        <w:rPr>
          <w:rStyle w:val="fadeinpfttw8"/>
          <w:sz w:val="28"/>
          <w:szCs w:val="28"/>
        </w:rPr>
        <w:t xml:space="preserve">Investigate </w:t>
      </w:r>
      <w:r w:rsidRPr="00B2321A">
        <w:rPr>
          <w:rStyle w:val="fadeinpfttw8"/>
          <w:b/>
          <w:bCs/>
          <w:sz w:val="28"/>
          <w:szCs w:val="28"/>
        </w:rPr>
        <w:t>barriers and facilitators</w:t>
      </w:r>
      <w:r w:rsidRPr="00B2321A">
        <w:rPr>
          <w:rStyle w:val="fadeinpfttw8"/>
          <w:sz w:val="28"/>
          <w:szCs w:val="28"/>
        </w:rPr>
        <w:t xml:space="preserve"> to integrating education into everyday nursing workflows</w:t>
      </w:r>
    </w:p>
    <w:p w:rsidR="00B2321A" w:rsidRPr="00B2321A" w:rsidRDefault="00B2321A" w:rsidP="0017650E">
      <w:pPr>
        <w:pStyle w:val="a4"/>
        <w:numPr>
          <w:ilvl w:val="0"/>
          <w:numId w:val="35"/>
        </w:numPr>
        <w:spacing w:line="360" w:lineRule="auto"/>
        <w:jc w:val="both"/>
        <w:rPr>
          <w:sz w:val="28"/>
          <w:szCs w:val="28"/>
        </w:rPr>
      </w:pPr>
      <w:r w:rsidRPr="00B2321A">
        <w:rPr>
          <w:rStyle w:val="fadeinpfttw8"/>
          <w:sz w:val="28"/>
          <w:szCs w:val="28"/>
        </w:rPr>
        <w:t xml:space="preserve">Test models of </w:t>
      </w:r>
      <w:r w:rsidRPr="00B2321A">
        <w:rPr>
          <w:rStyle w:val="fadeinpfttw8"/>
          <w:b/>
          <w:bCs/>
          <w:sz w:val="28"/>
          <w:szCs w:val="28"/>
        </w:rPr>
        <w:t>fidelity monitoring</w:t>
      </w:r>
      <w:r w:rsidRPr="00B2321A">
        <w:rPr>
          <w:rStyle w:val="fadeinpfttw8"/>
          <w:sz w:val="28"/>
          <w:szCs w:val="28"/>
        </w:rPr>
        <w:t>, to ensure consistency across staff</w:t>
      </w:r>
    </w:p>
    <w:p w:rsidR="00B2321A" w:rsidRPr="00B2321A" w:rsidRDefault="00B2321A" w:rsidP="0017650E">
      <w:pPr>
        <w:pStyle w:val="a4"/>
        <w:numPr>
          <w:ilvl w:val="0"/>
          <w:numId w:val="35"/>
        </w:numPr>
        <w:spacing w:line="360" w:lineRule="auto"/>
        <w:jc w:val="both"/>
        <w:rPr>
          <w:sz w:val="28"/>
          <w:szCs w:val="28"/>
        </w:rPr>
      </w:pPr>
      <w:r w:rsidRPr="00B2321A">
        <w:rPr>
          <w:rStyle w:val="fadeinpfttw8"/>
          <w:sz w:val="28"/>
          <w:szCs w:val="28"/>
        </w:rPr>
        <w:t xml:space="preserve">Evaluate </w:t>
      </w:r>
      <w:r w:rsidRPr="00B2321A">
        <w:rPr>
          <w:rStyle w:val="fadeinpfttw8"/>
          <w:b/>
          <w:bCs/>
          <w:sz w:val="28"/>
          <w:szCs w:val="28"/>
        </w:rPr>
        <w:t>nurse training programs</w:t>
      </w:r>
      <w:r w:rsidRPr="00B2321A">
        <w:rPr>
          <w:rStyle w:val="fadeinpfttw8"/>
          <w:sz w:val="28"/>
          <w:szCs w:val="28"/>
        </w:rPr>
        <w:t xml:space="preserve"> that prepare frontline staff to deliver effective education</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Hybrid effectiveness-implementation studies (e.g., Type II trials) can assess both </w:t>
      </w:r>
      <w:r w:rsidRPr="00B2321A">
        <w:rPr>
          <w:rStyle w:val="fadeinpfttw8"/>
          <w:b/>
          <w:bCs/>
          <w:sz w:val="28"/>
          <w:szCs w:val="28"/>
        </w:rPr>
        <w:t>clinical impact and real-world feasibility</w:t>
      </w:r>
      <w:r w:rsidRPr="00B2321A">
        <w:rPr>
          <w:rStyle w:val="fadeinpfttw8"/>
          <w:sz w:val="28"/>
          <w:szCs w:val="28"/>
        </w:rPr>
        <w:t>, providing blueprints for sustainable adoption.</w:t>
      </w:r>
    </w:p>
    <w:p w:rsidR="00B2321A" w:rsidRPr="00B2321A" w:rsidRDefault="00B2321A" w:rsidP="00B2321A">
      <w:pPr>
        <w:pStyle w:val="4"/>
        <w:spacing w:line="360" w:lineRule="auto"/>
        <w:jc w:val="both"/>
        <w:rPr>
          <w:sz w:val="28"/>
          <w:szCs w:val="28"/>
        </w:rPr>
      </w:pPr>
      <w:r w:rsidRPr="00B2321A">
        <w:rPr>
          <w:rStyle w:val="fadeinpfttw8"/>
          <w:sz w:val="28"/>
          <w:szCs w:val="28"/>
        </w:rPr>
        <w:t>9. Building Research Capacity in Nursing Science</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 xml:space="preserve">Finally, this study illustrates the </w:t>
      </w:r>
      <w:r w:rsidRPr="00B2321A">
        <w:rPr>
          <w:rStyle w:val="fadeinpfttw8"/>
          <w:b/>
          <w:bCs/>
          <w:sz w:val="28"/>
          <w:szCs w:val="28"/>
        </w:rPr>
        <w:t>potential leadership role of nurses in clinical research</w:t>
      </w:r>
      <w:r w:rsidRPr="00B2321A">
        <w:rPr>
          <w:rStyle w:val="fadeinpfttw8"/>
          <w:sz w:val="28"/>
          <w:szCs w:val="28"/>
        </w:rPr>
        <w:t>, especially in fields like gastroenterology where nursing contributions have been underrecognized. Future priorities should include:</w:t>
      </w:r>
    </w:p>
    <w:p w:rsidR="00B2321A" w:rsidRPr="00B2321A" w:rsidRDefault="00B2321A" w:rsidP="0017650E">
      <w:pPr>
        <w:pStyle w:val="a4"/>
        <w:numPr>
          <w:ilvl w:val="0"/>
          <w:numId w:val="36"/>
        </w:numPr>
        <w:spacing w:line="360" w:lineRule="auto"/>
        <w:jc w:val="both"/>
        <w:rPr>
          <w:sz w:val="28"/>
          <w:szCs w:val="28"/>
        </w:rPr>
      </w:pPr>
      <w:r w:rsidRPr="00B2321A">
        <w:rPr>
          <w:rStyle w:val="fadeinpfttw8"/>
          <w:sz w:val="28"/>
          <w:szCs w:val="28"/>
        </w:rPr>
        <w:t xml:space="preserve">Expanding </w:t>
      </w:r>
      <w:r w:rsidRPr="00B2321A">
        <w:rPr>
          <w:rStyle w:val="fadeinpfttw8"/>
          <w:b/>
          <w:bCs/>
          <w:sz w:val="28"/>
          <w:szCs w:val="28"/>
        </w:rPr>
        <w:t>doctoral-level research training</w:t>
      </w:r>
      <w:r w:rsidRPr="00B2321A">
        <w:rPr>
          <w:rStyle w:val="fadeinpfttw8"/>
          <w:sz w:val="28"/>
          <w:szCs w:val="28"/>
        </w:rPr>
        <w:t xml:space="preserve"> for nurses in chronic disease care</w:t>
      </w:r>
    </w:p>
    <w:p w:rsidR="00B2321A" w:rsidRPr="00B2321A" w:rsidRDefault="00B2321A" w:rsidP="0017650E">
      <w:pPr>
        <w:pStyle w:val="a4"/>
        <w:numPr>
          <w:ilvl w:val="0"/>
          <w:numId w:val="36"/>
        </w:numPr>
        <w:spacing w:line="360" w:lineRule="auto"/>
        <w:jc w:val="both"/>
        <w:rPr>
          <w:sz w:val="28"/>
          <w:szCs w:val="28"/>
        </w:rPr>
      </w:pPr>
      <w:r w:rsidRPr="00B2321A">
        <w:rPr>
          <w:rStyle w:val="fadeinpfttw8"/>
          <w:sz w:val="28"/>
          <w:szCs w:val="28"/>
        </w:rPr>
        <w:t xml:space="preserve">Promoting </w:t>
      </w:r>
      <w:r w:rsidRPr="00B2321A">
        <w:rPr>
          <w:rStyle w:val="fadeinpfttw8"/>
          <w:b/>
          <w:bCs/>
          <w:sz w:val="28"/>
          <w:szCs w:val="28"/>
        </w:rPr>
        <w:t>nurse-led multicenter trials</w:t>
      </w:r>
    </w:p>
    <w:p w:rsidR="00B2321A" w:rsidRPr="00B2321A" w:rsidRDefault="00B2321A" w:rsidP="0017650E">
      <w:pPr>
        <w:pStyle w:val="a4"/>
        <w:numPr>
          <w:ilvl w:val="0"/>
          <w:numId w:val="36"/>
        </w:numPr>
        <w:spacing w:line="360" w:lineRule="auto"/>
        <w:jc w:val="both"/>
        <w:rPr>
          <w:sz w:val="28"/>
          <w:szCs w:val="28"/>
        </w:rPr>
      </w:pPr>
      <w:r w:rsidRPr="00B2321A">
        <w:rPr>
          <w:rStyle w:val="fadeinpfttw8"/>
          <w:sz w:val="28"/>
          <w:szCs w:val="28"/>
        </w:rPr>
        <w:t xml:space="preserve">Strengthening </w:t>
      </w:r>
      <w:r w:rsidRPr="00B2321A">
        <w:rPr>
          <w:rStyle w:val="fadeinpfttw8"/>
          <w:b/>
          <w:bCs/>
          <w:sz w:val="28"/>
          <w:szCs w:val="28"/>
        </w:rPr>
        <w:t>international collaborations</w:t>
      </w:r>
      <w:r w:rsidRPr="00B2321A">
        <w:rPr>
          <w:rStyle w:val="fadeinpfttw8"/>
          <w:sz w:val="28"/>
          <w:szCs w:val="28"/>
        </w:rPr>
        <w:t xml:space="preserve"> to unify educational standards across contexts</w:t>
      </w:r>
    </w:p>
    <w:p w:rsidR="00B2321A" w:rsidRPr="00B2321A" w:rsidRDefault="00B2321A" w:rsidP="00B2321A">
      <w:pPr>
        <w:pStyle w:val="a4"/>
        <w:spacing w:line="360" w:lineRule="auto"/>
        <w:jc w:val="both"/>
        <w:rPr>
          <w:sz w:val="28"/>
          <w:szCs w:val="28"/>
        </w:rPr>
      </w:pPr>
      <w:r w:rsidRPr="00B2321A">
        <w:rPr>
          <w:rStyle w:val="fadeinpfttw8"/>
          <w:sz w:val="28"/>
          <w:szCs w:val="28"/>
        </w:rPr>
        <w:lastRenderedPageBreak/>
        <w:t>Investing in nursing science will not only expand the evidence base but also raise the profile and scope of the profession in delivering transformational care.</w:t>
      </w:r>
    </w:p>
    <w:p w:rsidR="00B2321A" w:rsidRPr="00B2321A" w:rsidRDefault="00B2321A" w:rsidP="00B2321A">
      <w:pPr>
        <w:pStyle w:val="3"/>
        <w:spacing w:line="360" w:lineRule="auto"/>
        <w:jc w:val="both"/>
        <w:rPr>
          <w:sz w:val="28"/>
          <w:szCs w:val="28"/>
        </w:rPr>
      </w:pPr>
      <w:r w:rsidRPr="00B2321A">
        <w:rPr>
          <w:rStyle w:val="fadeinpfttw8"/>
          <w:sz w:val="28"/>
          <w:szCs w:val="28"/>
        </w:rPr>
        <w:t>Conclusion: Strategic Vision for Future Inquiry</w:t>
      </w:r>
    </w:p>
    <w:p w:rsidR="00B2321A" w:rsidRPr="00B2321A" w:rsidRDefault="00B2321A" w:rsidP="00B2321A">
      <w:pPr>
        <w:pStyle w:val="a4"/>
        <w:spacing w:line="360" w:lineRule="auto"/>
        <w:ind w:firstLine="360"/>
        <w:jc w:val="both"/>
        <w:rPr>
          <w:sz w:val="28"/>
          <w:szCs w:val="28"/>
        </w:rPr>
      </w:pPr>
      <w:r w:rsidRPr="00B2321A">
        <w:rPr>
          <w:rStyle w:val="fadeinpfttw8"/>
          <w:sz w:val="28"/>
          <w:szCs w:val="28"/>
        </w:rPr>
        <w:t>To advance the science and practice of patient education in IBD, future research must be:</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Long-term</w:t>
      </w:r>
      <w:r w:rsidRPr="00B2321A">
        <w:rPr>
          <w:rStyle w:val="fadeinpfttw8"/>
          <w:sz w:val="28"/>
          <w:szCs w:val="28"/>
        </w:rPr>
        <w:t>, capturing sustained outcomes</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Inclusive</w:t>
      </w:r>
      <w:r w:rsidRPr="00B2321A">
        <w:rPr>
          <w:rStyle w:val="fadeinpfttw8"/>
          <w:sz w:val="28"/>
          <w:szCs w:val="28"/>
        </w:rPr>
        <w:t>, addressing diverse patient populations</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Pragmatic</w:t>
      </w:r>
      <w:r w:rsidRPr="00B2321A">
        <w:rPr>
          <w:rStyle w:val="fadeinpfttw8"/>
          <w:sz w:val="28"/>
          <w:szCs w:val="28"/>
        </w:rPr>
        <w:t>, reflecting real-world healthcare conditions</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Collaborative</w:t>
      </w:r>
      <w:r w:rsidRPr="00B2321A">
        <w:rPr>
          <w:rStyle w:val="fadeinpfttw8"/>
          <w:sz w:val="28"/>
          <w:szCs w:val="28"/>
        </w:rPr>
        <w:t>, involving interdisciplinary teams</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Innovative</w:t>
      </w:r>
      <w:r w:rsidRPr="00B2321A">
        <w:rPr>
          <w:rStyle w:val="fadeinpfttw8"/>
          <w:sz w:val="28"/>
          <w:szCs w:val="28"/>
        </w:rPr>
        <w:t>, embracing digital and behavioral tools</w:t>
      </w:r>
    </w:p>
    <w:p w:rsidR="00B2321A" w:rsidRPr="00B2321A" w:rsidRDefault="00B2321A" w:rsidP="0017650E">
      <w:pPr>
        <w:pStyle w:val="a4"/>
        <w:numPr>
          <w:ilvl w:val="0"/>
          <w:numId w:val="37"/>
        </w:numPr>
        <w:spacing w:line="360" w:lineRule="auto"/>
        <w:jc w:val="both"/>
        <w:rPr>
          <w:sz w:val="28"/>
          <w:szCs w:val="28"/>
        </w:rPr>
      </w:pPr>
      <w:r w:rsidRPr="00B2321A">
        <w:rPr>
          <w:rStyle w:val="fadeinpfttw8"/>
          <w:b/>
          <w:bCs/>
          <w:sz w:val="28"/>
          <w:szCs w:val="28"/>
        </w:rPr>
        <w:t>Impactful</w:t>
      </w:r>
      <w:r w:rsidRPr="00B2321A">
        <w:rPr>
          <w:rStyle w:val="fadeinpfttw8"/>
          <w:sz w:val="28"/>
          <w:szCs w:val="28"/>
        </w:rPr>
        <w:t>, linking findings to organizational change</w:t>
      </w:r>
    </w:p>
    <w:p w:rsidR="00623D5E" w:rsidRDefault="00B2321A" w:rsidP="00B2321A">
      <w:pPr>
        <w:pStyle w:val="a4"/>
        <w:spacing w:line="360" w:lineRule="auto"/>
        <w:ind w:firstLine="360"/>
        <w:jc w:val="both"/>
        <w:rPr>
          <w:rStyle w:val="fadeinpfttw8"/>
          <w:sz w:val="28"/>
          <w:szCs w:val="28"/>
        </w:rPr>
      </w:pPr>
      <w:r w:rsidRPr="00B2321A">
        <w:rPr>
          <w:rStyle w:val="fadeinpfttw8"/>
          <w:sz w:val="28"/>
          <w:szCs w:val="28"/>
        </w:rPr>
        <w:t>A unified research agenda that bridges clinical practice, psychology, education theory, and health policy is essential. Nurses are uniquely positioned to lead this agenda—and, through rigorous inquiry, ensure that all patients with IBD receive the support they need to manage their disease with knowledge, confidence, and dignity.</w:t>
      </w:r>
      <w:r w:rsidR="00623D5E">
        <w:rPr>
          <w:rStyle w:val="fadeinpfttw8"/>
          <w:sz w:val="28"/>
          <w:szCs w:val="28"/>
        </w:rPr>
        <w:br w:type="page"/>
      </w:r>
    </w:p>
    <w:p w:rsidR="00623D5E" w:rsidRPr="00623D5E" w:rsidRDefault="00623D5E" w:rsidP="00623D5E">
      <w:pPr>
        <w:pStyle w:val="2"/>
        <w:jc w:val="center"/>
        <w:rPr>
          <w:rFonts w:ascii="Times New Roman" w:hAnsi="Times New Roman" w:cs="Times New Roman"/>
          <w:b/>
          <w:bCs/>
          <w:sz w:val="28"/>
          <w:szCs w:val="28"/>
        </w:rPr>
      </w:pPr>
      <w:r w:rsidRPr="00623D5E">
        <w:rPr>
          <w:rStyle w:val="fadeinpfttw8"/>
          <w:rFonts w:ascii="Times New Roman" w:hAnsi="Times New Roman" w:cs="Times New Roman"/>
          <w:b/>
          <w:bCs/>
          <w:sz w:val="28"/>
          <w:szCs w:val="28"/>
        </w:rPr>
        <w:lastRenderedPageBreak/>
        <w:t>CHAPTER 4. CONCLUSIONS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Inflammatory bowel diseases (IBD), encompassing Crohn’s disease and ulcerative colitis, are chronic, relapsing-remitting conditions that impose substantial burdens on patients, families, and healthcare systems worldwide. Managing IBD requires more than pharmacologic control of inflammation—it demands active, informed, and empowered patients who can engage in self-management, monitor disease activity, adhere to complex treatment regimens, and collaborate meaningfully with healthcare professionals.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Despite the availability of effective medications, rates of non-adherence in IBD remain alarmingly high, with estimates suggesting that 30–45% of patients do not follow prescribed therapy. This behavior is not merely a clinical issue—it is a symptom of deeper challenges: inadequate disease understanding, psychological distress, mistrust in therapy, fragmented communication, and inconsistent follow-up.</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Against this backdrop, the role of nursing emerges as both a clinical necessity and a strategic solution. This master’s thesis explored the implementation and evaluation of a nurse-led educational intervention aimed at improving treatment adherence in patients with IBD. By merging theoretical frameworks, empirical research, and qualitative insight, this work provides a robust foundation for advancing nursing-led care in chronic disease management.</w:t>
      </w:r>
    </w:p>
    <w:p w:rsidR="00623D5E" w:rsidRPr="00623D5E" w:rsidRDefault="00623D5E" w:rsidP="00623D5E">
      <w:pPr>
        <w:pStyle w:val="3"/>
        <w:spacing w:line="360" w:lineRule="auto"/>
        <w:jc w:val="both"/>
        <w:rPr>
          <w:sz w:val="28"/>
          <w:szCs w:val="28"/>
        </w:rPr>
      </w:pPr>
      <w:r w:rsidRPr="00623D5E">
        <w:rPr>
          <w:rStyle w:val="fadeinpfttw8"/>
          <w:sz w:val="28"/>
          <w:szCs w:val="28"/>
        </w:rPr>
        <w:t>4.1. Summary of Theoretical Insights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The theoretical portion of this study examined adherence through the lens of health behavior science and nursing theory. Frameworks such as Orem’s Self-Care Deficit Nursing Theory emphasized the role of the nurse in identifying gaps in patients’ self-management capabilities and providing appropriate support to bridge them. The Health Belief Model offered a useful paradigm for understanding the psychological mechanisms behind adherence behavior, including perceived susceptibility to disease progression, perceived benefits of treatment, and perceived barriers to medication use.</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lastRenderedPageBreak/>
        <w:t>These insights were reinforced by a thorough review of international literature, which identified nurse-led education as a critical—yet often underutilized—intervention in chronic care. Global organizations such as the European Crohn’s and Colitis Organization (ECCO), the Crohn’s and Colitis Foundation (CCF), and WHO have emphasized the need for multidisciplinary and education-focused models of care. Theoretical analysis highlighted the importance of trust, communication, empowerment, and ongoing engagement as central pillars of adherence support.</w:t>
      </w:r>
    </w:p>
    <w:p w:rsidR="00623D5E" w:rsidRPr="0058699A" w:rsidRDefault="00623D5E" w:rsidP="0058699A">
      <w:pPr>
        <w:pStyle w:val="a4"/>
        <w:spacing w:line="360" w:lineRule="auto"/>
        <w:ind w:firstLine="708"/>
        <w:jc w:val="both"/>
        <w:rPr>
          <w:rStyle w:val="fadeinpfttw8"/>
          <w:sz w:val="28"/>
          <w:szCs w:val="28"/>
        </w:rPr>
      </w:pPr>
      <w:r w:rsidRPr="00623D5E">
        <w:rPr>
          <w:rStyle w:val="fadeinpfttw8"/>
          <w:sz w:val="28"/>
          <w:szCs w:val="28"/>
        </w:rPr>
        <w:t xml:space="preserve">In sum, the theoretical foundation established that adherence is not solely a patient responsibility; it is a relational and systemic outcome—one that nurses are uniquely </w:t>
      </w:r>
      <w:r w:rsidRPr="0058699A">
        <w:rPr>
          <w:rStyle w:val="fadeinpfttw8"/>
          <w:sz w:val="28"/>
          <w:szCs w:val="28"/>
        </w:rPr>
        <w:t>qualified to improve.</w:t>
      </w:r>
    </w:p>
    <w:p w:rsidR="0058699A" w:rsidRPr="0058699A" w:rsidRDefault="0058699A" w:rsidP="0058699A">
      <w:pPr>
        <w:pStyle w:val="2"/>
        <w:spacing w:line="360" w:lineRule="auto"/>
        <w:jc w:val="both"/>
        <w:rPr>
          <w:sz w:val="28"/>
          <w:szCs w:val="28"/>
        </w:rPr>
      </w:pPr>
      <w:r w:rsidRPr="0058699A">
        <w:rPr>
          <w:rStyle w:val="fadeinpfttw8"/>
          <w:sz w:val="28"/>
          <w:szCs w:val="28"/>
        </w:rPr>
        <w:t>Key Conclusions of the Study (Point by Point)</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Nurse-led educational interventions significantly improve medication adherence</w:t>
      </w:r>
      <w:r w:rsidRPr="0058699A">
        <w:rPr>
          <w:rStyle w:val="fadeinpfttw8"/>
          <w:sz w:val="28"/>
          <w:szCs w:val="28"/>
        </w:rPr>
        <w:t xml:space="preserve"> among patients with IBD, as shown by increased MMAS-8 scores and higher rates of high adherence after the intervention.</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Patient knowledge about IBD improved substantially</w:t>
      </w:r>
      <w:r w:rsidRPr="0058699A">
        <w:rPr>
          <w:rStyle w:val="fadeinpfttw8"/>
          <w:sz w:val="28"/>
          <w:szCs w:val="28"/>
        </w:rPr>
        <w:t xml:space="preserve"> following structured education, reinforcing the role of nurses in disease literacy and treatment comprehension.</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Qualitative feedback revealed enhanced patient trust, emotional comfort, and motivation</w:t>
      </w:r>
      <w:r w:rsidRPr="0058699A">
        <w:rPr>
          <w:rStyle w:val="fadeinpfttw8"/>
          <w:sz w:val="28"/>
          <w:szCs w:val="28"/>
        </w:rPr>
        <w:t xml:space="preserve"> as outcomes of nurse-patient educational engagement.</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Adherence is influenced not only by knowledge but also by psychological readiness, health literacy, and interpersonal support</w:t>
      </w:r>
      <w:r w:rsidRPr="0058699A">
        <w:rPr>
          <w:rStyle w:val="fadeinpfttw8"/>
          <w:sz w:val="28"/>
          <w:szCs w:val="28"/>
        </w:rPr>
        <w:t>, all of which can be positively shaped through nursing care.</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Early initiation of education at diagnosis is crucial</w:t>
      </w:r>
      <w:r w:rsidRPr="0058699A">
        <w:rPr>
          <w:rStyle w:val="fadeinpfttw8"/>
          <w:sz w:val="28"/>
          <w:szCs w:val="28"/>
        </w:rPr>
        <w:t xml:space="preserve"> for fostering long-term engagement and positive behavior change.</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Multimodal, repeated, and tailored educational strategies are most effective</w:t>
      </w:r>
      <w:r w:rsidRPr="0058699A">
        <w:rPr>
          <w:rStyle w:val="fadeinpfttw8"/>
          <w:sz w:val="28"/>
          <w:szCs w:val="28"/>
        </w:rPr>
        <w:t>, especially when adapted to individual literacy levels and psychosocial contexts.</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The presence of an IBD-specialized nurse improves care continuity</w:t>
      </w:r>
      <w:r w:rsidRPr="0058699A">
        <w:rPr>
          <w:rStyle w:val="fadeinpfttw8"/>
          <w:sz w:val="28"/>
          <w:szCs w:val="28"/>
        </w:rPr>
        <w:t>, coordination, and patient navigation through complex treatment pathways.</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lastRenderedPageBreak/>
        <w:t>Institutional support and formal recognition of educational nursing roles</w:t>
      </w:r>
      <w:r w:rsidRPr="0058699A">
        <w:rPr>
          <w:rStyle w:val="fadeinpfttw8"/>
          <w:sz w:val="28"/>
          <w:szCs w:val="28"/>
        </w:rPr>
        <w:t xml:space="preserve"> are essential for sustainability and quality of care delivery.</w:t>
      </w:r>
    </w:p>
    <w:p w:rsidR="0058699A" w:rsidRPr="0058699A" w:rsidRDefault="0058699A" w:rsidP="0017650E">
      <w:pPr>
        <w:pStyle w:val="a4"/>
        <w:numPr>
          <w:ilvl w:val="0"/>
          <w:numId w:val="56"/>
        </w:numPr>
        <w:spacing w:line="360" w:lineRule="auto"/>
        <w:jc w:val="both"/>
        <w:rPr>
          <w:sz w:val="28"/>
          <w:szCs w:val="28"/>
        </w:rPr>
      </w:pPr>
      <w:r w:rsidRPr="0058699A">
        <w:rPr>
          <w:rStyle w:val="fadeinpfttw8"/>
          <w:b/>
          <w:bCs/>
          <w:sz w:val="28"/>
          <w:szCs w:val="28"/>
        </w:rPr>
        <w:t>International guidelines (ECCO, CCF, NICE, WHO) strongly support expanding the educational and coordinative roles of nurses</w:t>
      </w:r>
      <w:r w:rsidRPr="0058699A">
        <w:rPr>
          <w:rStyle w:val="fadeinpfttw8"/>
          <w:sz w:val="28"/>
          <w:szCs w:val="28"/>
        </w:rPr>
        <w:t xml:space="preserve"> in chronic disease care.</w:t>
      </w:r>
    </w:p>
    <w:p w:rsidR="0058699A" w:rsidRPr="00F07979" w:rsidRDefault="0058699A" w:rsidP="0017650E">
      <w:pPr>
        <w:pStyle w:val="a4"/>
        <w:numPr>
          <w:ilvl w:val="0"/>
          <w:numId w:val="56"/>
        </w:numPr>
        <w:spacing w:line="360" w:lineRule="auto"/>
        <w:jc w:val="both"/>
        <w:rPr>
          <w:sz w:val="28"/>
          <w:szCs w:val="28"/>
        </w:rPr>
      </w:pPr>
      <w:r w:rsidRPr="0058699A">
        <w:rPr>
          <w:rStyle w:val="fadeinpfttw8"/>
          <w:b/>
          <w:bCs/>
          <w:sz w:val="28"/>
          <w:szCs w:val="28"/>
        </w:rPr>
        <w:t>Future research should focus on long-term outcomes, cost-effectiveness, and personalized approaches</w:t>
      </w:r>
      <w:r w:rsidRPr="0058699A">
        <w:rPr>
          <w:rStyle w:val="fadeinpfttw8"/>
          <w:sz w:val="28"/>
          <w:szCs w:val="28"/>
        </w:rPr>
        <w:t xml:space="preserve"> to patient education in IBD management.</w:t>
      </w:r>
    </w:p>
    <w:p w:rsidR="00623D5E" w:rsidRPr="00623D5E" w:rsidRDefault="00623D5E" w:rsidP="00623D5E">
      <w:pPr>
        <w:pStyle w:val="3"/>
        <w:spacing w:line="360" w:lineRule="auto"/>
        <w:jc w:val="both"/>
        <w:rPr>
          <w:sz w:val="28"/>
          <w:szCs w:val="28"/>
        </w:rPr>
      </w:pPr>
      <w:r w:rsidRPr="00623D5E">
        <w:rPr>
          <w:rStyle w:val="fadeinpfttw8"/>
          <w:sz w:val="28"/>
          <w:szCs w:val="28"/>
        </w:rPr>
        <w:t>4.2. Summary of Research Findings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The research phase of this study involved 85 patients diagnosed with IBD, observed at a clinical gastroenterology unit. A nurse-led educational intervention, consisting of structured teaching, visual and written materials, and scheduled follow-up, was delivered over three months.</w:t>
      </w:r>
    </w:p>
    <w:p w:rsidR="00623D5E" w:rsidRPr="00623D5E" w:rsidRDefault="00623D5E" w:rsidP="00623D5E">
      <w:pPr>
        <w:pStyle w:val="a4"/>
        <w:spacing w:line="360" w:lineRule="auto"/>
        <w:jc w:val="both"/>
        <w:rPr>
          <w:sz w:val="28"/>
          <w:szCs w:val="28"/>
        </w:rPr>
      </w:pPr>
      <w:r w:rsidRPr="00623D5E">
        <w:rPr>
          <w:rStyle w:val="fadeinpfttw8"/>
          <w:sz w:val="28"/>
          <w:szCs w:val="28"/>
        </w:rPr>
        <w:t>The quantitative results were compelling:</w:t>
      </w:r>
    </w:p>
    <w:p w:rsidR="00623D5E" w:rsidRPr="00623D5E" w:rsidRDefault="00623D5E" w:rsidP="0017650E">
      <w:pPr>
        <w:pStyle w:val="a4"/>
        <w:numPr>
          <w:ilvl w:val="0"/>
          <w:numId w:val="38"/>
        </w:numPr>
        <w:spacing w:line="360" w:lineRule="auto"/>
        <w:jc w:val="both"/>
        <w:rPr>
          <w:sz w:val="28"/>
          <w:szCs w:val="28"/>
        </w:rPr>
      </w:pPr>
      <w:r w:rsidRPr="00623D5E">
        <w:rPr>
          <w:rStyle w:val="fadeinpfttw8"/>
          <w:sz w:val="28"/>
          <w:szCs w:val="28"/>
        </w:rPr>
        <w:t xml:space="preserve">The </w:t>
      </w:r>
      <w:r w:rsidRPr="00623D5E">
        <w:rPr>
          <w:rStyle w:val="fadeinpfttw8"/>
          <w:b/>
          <w:bCs/>
          <w:sz w:val="28"/>
          <w:szCs w:val="28"/>
        </w:rPr>
        <w:t>mean MMAS-8 score increased</w:t>
      </w:r>
      <w:r w:rsidRPr="00623D5E">
        <w:rPr>
          <w:rStyle w:val="fadeinpfttw8"/>
          <w:sz w:val="28"/>
          <w:szCs w:val="28"/>
        </w:rPr>
        <w:t xml:space="preserve"> from </w:t>
      </w:r>
      <w:r w:rsidRPr="00623D5E">
        <w:rPr>
          <w:rStyle w:val="fadeinpfttw8"/>
          <w:b/>
          <w:bCs/>
          <w:sz w:val="28"/>
          <w:szCs w:val="28"/>
        </w:rPr>
        <w:t>5.4 to 7.1</w:t>
      </w:r>
      <w:r w:rsidRPr="00623D5E">
        <w:rPr>
          <w:rStyle w:val="fadeinpfttw8"/>
          <w:sz w:val="28"/>
          <w:szCs w:val="28"/>
        </w:rPr>
        <w:t>, reflecting a statistically significant improvement in adherence.</w:t>
      </w:r>
    </w:p>
    <w:p w:rsidR="00623D5E" w:rsidRPr="00623D5E" w:rsidRDefault="00623D5E" w:rsidP="0017650E">
      <w:pPr>
        <w:pStyle w:val="a4"/>
        <w:numPr>
          <w:ilvl w:val="0"/>
          <w:numId w:val="38"/>
        </w:numPr>
        <w:spacing w:line="360" w:lineRule="auto"/>
        <w:jc w:val="both"/>
        <w:rPr>
          <w:sz w:val="28"/>
          <w:szCs w:val="28"/>
        </w:rPr>
      </w:pPr>
      <w:r w:rsidRPr="00623D5E">
        <w:rPr>
          <w:rStyle w:val="fadeinpfttw8"/>
          <w:sz w:val="28"/>
          <w:szCs w:val="28"/>
        </w:rPr>
        <w:t xml:space="preserve">The proportion of patients in the </w:t>
      </w:r>
      <w:r w:rsidRPr="00623D5E">
        <w:rPr>
          <w:rStyle w:val="fadeinpfttw8"/>
          <w:b/>
          <w:bCs/>
          <w:sz w:val="28"/>
          <w:szCs w:val="28"/>
        </w:rPr>
        <w:t>high adherence category rose</w:t>
      </w:r>
      <w:r w:rsidRPr="00623D5E">
        <w:rPr>
          <w:rStyle w:val="fadeinpfttw8"/>
          <w:sz w:val="28"/>
          <w:szCs w:val="28"/>
        </w:rPr>
        <w:t xml:space="preserve"> from </w:t>
      </w:r>
      <w:r w:rsidRPr="00623D5E">
        <w:rPr>
          <w:rStyle w:val="fadeinpfttw8"/>
          <w:b/>
          <w:bCs/>
          <w:sz w:val="28"/>
          <w:szCs w:val="28"/>
        </w:rPr>
        <w:t>18.8% to 48.2%</w:t>
      </w:r>
      <w:r w:rsidRPr="00623D5E">
        <w:rPr>
          <w:rStyle w:val="fadeinpfttw8"/>
          <w:sz w:val="28"/>
          <w:szCs w:val="28"/>
        </w:rPr>
        <w:t>.</w:t>
      </w:r>
    </w:p>
    <w:p w:rsidR="00623D5E" w:rsidRPr="00623D5E" w:rsidRDefault="00623D5E" w:rsidP="0017650E">
      <w:pPr>
        <w:pStyle w:val="a4"/>
        <w:numPr>
          <w:ilvl w:val="0"/>
          <w:numId w:val="38"/>
        </w:numPr>
        <w:spacing w:line="360" w:lineRule="auto"/>
        <w:jc w:val="both"/>
        <w:rPr>
          <w:sz w:val="28"/>
          <w:szCs w:val="28"/>
        </w:rPr>
      </w:pPr>
      <w:r w:rsidRPr="00623D5E">
        <w:rPr>
          <w:rStyle w:val="fadeinpfttw8"/>
          <w:sz w:val="28"/>
          <w:szCs w:val="28"/>
        </w:rPr>
        <w:t xml:space="preserve">Disease knowledge, as measured by a standardized questionnaire, improved from </w:t>
      </w:r>
      <w:r w:rsidRPr="00623D5E">
        <w:rPr>
          <w:rStyle w:val="fadeinpfttw8"/>
          <w:b/>
          <w:bCs/>
          <w:sz w:val="28"/>
          <w:szCs w:val="28"/>
        </w:rPr>
        <w:t>54.6% to 83.3%</w:t>
      </w:r>
      <w:r w:rsidRPr="00623D5E">
        <w:rPr>
          <w:rStyle w:val="fadeinpfttw8"/>
          <w:sz w:val="28"/>
          <w:szCs w:val="28"/>
        </w:rPr>
        <w:t xml:space="preserve"> correct answers.</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These outcomes suggest that structured education is not only effective in increasing adherence, but also in deepening disease understanding—one of the most modifiable barriers to long-term engagement in therapy.</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 xml:space="preserve">Moreover, qualitative analysis added a rich dimension to the findings. Themes such as </w:t>
      </w:r>
      <w:r w:rsidRPr="00623D5E">
        <w:rPr>
          <w:rStyle w:val="fadeinpfttw8"/>
          <w:b/>
          <w:bCs/>
          <w:sz w:val="28"/>
          <w:szCs w:val="28"/>
        </w:rPr>
        <w:t>clarity, trust, motivation, emotional reassurance, and habit formation</w:t>
      </w:r>
      <w:r w:rsidRPr="00623D5E">
        <w:rPr>
          <w:rStyle w:val="fadeinpfttw8"/>
          <w:sz w:val="28"/>
          <w:szCs w:val="28"/>
        </w:rPr>
        <w:t xml:space="preserve"> emerged across interviews. Patients consistently described how education helped them transform fear and confusion into confidence and action. They valued the human aspects of the intervention as </w:t>
      </w:r>
      <w:r w:rsidRPr="00623D5E">
        <w:rPr>
          <w:rStyle w:val="fadeinpfttw8"/>
          <w:sz w:val="28"/>
          <w:szCs w:val="28"/>
        </w:rPr>
        <w:lastRenderedPageBreak/>
        <w:t>much as the clinical content: being listened to, having time to ask questions, and being seen not just as a “case” but as a person.</w:t>
      </w:r>
    </w:p>
    <w:p w:rsidR="00623D5E" w:rsidRPr="00623D5E" w:rsidRDefault="00623D5E" w:rsidP="00623D5E">
      <w:pPr>
        <w:pStyle w:val="3"/>
        <w:spacing w:line="360" w:lineRule="auto"/>
        <w:jc w:val="both"/>
        <w:rPr>
          <w:sz w:val="28"/>
          <w:szCs w:val="28"/>
        </w:rPr>
      </w:pPr>
      <w:r w:rsidRPr="00623D5E">
        <w:rPr>
          <w:rStyle w:val="fadeinpfttw8"/>
          <w:sz w:val="28"/>
          <w:szCs w:val="28"/>
        </w:rPr>
        <w:t>4.3. Practical Implications for Nursing</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 xml:space="preserve">The findings from this study support a strong case for </w:t>
      </w:r>
      <w:r w:rsidRPr="00623D5E">
        <w:rPr>
          <w:rStyle w:val="fadeinpfttw8"/>
          <w:b/>
          <w:bCs/>
          <w:sz w:val="28"/>
          <w:szCs w:val="28"/>
        </w:rPr>
        <w:t>institutionalizing nurse-led education as a routine element of IBD care</w:t>
      </w:r>
      <w:r w:rsidRPr="00623D5E">
        <w:rPr>
          <w:rStyle w:val="fadeinpfttw8"/>
          <w:sz w:val="28"/>
          <w:szCs w:val="28"/>
        </w:rPr>
        <w:t>. This involves not only scheduling educational sessions, but embedding education into the identity and workflows of clinical nursing practice.</w:t>
      </w:r>
    </w:p>
    <w:p w:rsidR="00623D5E" w:rsidRPr="00623D5E" w:rsidRDefault="00623D5E" w:rsidP="00623D5E">
      <w:pPr>
        <w:pStyle w:val="a4"/>
        <w:spacing w:line="360" w:lineRule="auto"/>
        <w:jc w:val="both"/>
        <w:rPr>
          <w:sz w:val="28"/>
          <w:szCs w:val="28"/>
        </w:rPr>
      </w:pPr>
      <w:r w:rsidRPr="00623D5E">
        <w:rPr>
          <w:rStyle w:val="fadeinpfttw8"/>
          <w:sz w:val="28"/>
          <w:szCs w:val="28"/>
        </w:rPr>
        <w:t>Nurses should be empowered through:</w:t>
      </w:r>
    </w:p>
    <w:p w:rsidR="00623D5E" w:rsidRPr="00623D5E" w:rsidRDefault="00623D5E" w:rsidP="0017650E">
      <w:pPr>
        <w:pStyle w:val="a4"/>
        <w:numPr>
          <w:ilvl w:val="0"/>
          <w:numId w:val="39"/>
        </w:numPr>
        <w:spacing w:line="360" w:lineRule="auto"/>
        <w:jc w:val="both"/>
        <w:rPr>
          <w:sz w:val="28"/>
          <w:szCs w:val="28"/>
        </w:rPr>
      </w:pPr>
      <w:r w:rsidRPr="00623D5E">
        <w:rPr>
          <w:rStyle w:val="fadeinpfttw8"/>
          <w:sz w:val="28"/>
          <w:szCs w:val="28"/>
        </w:rPr>
        <w:t>Specialized training in IBD management and communication</w:t>
      </w:r>
    </w:p>
    <w:p w:rsidR="00623D5E" w:rsidRPr="00623D5E" w:rsidRDefault="00623D5E" w:rsidP="0017650E">
      <w:pPr>
        <w:pStyle w:val="a4"/>
        <w:numPr>
          <w:ilvl w:val="0"/>
          <w:numId w:val="39"/>
        </w:numPr>
        <w:spacing w:line="360" w:lineRule="auto"/>
        <w:jc w:val="both"/>
        <w:rPr>
          <w:sz w:val="28"/>
          <w:szCs w:val="28"/>
        </w:rPr>
      </w:pPr>
      <w:r w:rsidRPr="00623D5E">
        <w:rPr>
          <w:rStyle w:val="fadeinpfttw8"/>
          <w:sz w:val="28"/>
          <w:szCs w:val="28"/>
        </w:rPr>
        <w:t>Clear institutional support, including protected time and recognition for educational duties</w:t>
      </w:r>
    </w:p>
    <w:p w:rsidR="00623D5E" w:rsidRPr="00623D5E" w:rsidRDefault="00623D5E" w:rsidP="0017650E">
      <w:pPr>
        <w:pStyle w:val="a4"/>
        <w:numPr>
          <w:ilvl w:val="0"/>
          <w:numId w:val="39"/>
        </w:numPr>
        <w:spacing w:line="360" w:lineRule="auto"/>
        <w:jc w:val="both"/>
        <w:rPr>
          <w:sz w:val="28"/>
          <w:szCs w:val="28"/>
        </w:rPr>
      </w:pPr>
      <w:r w:rsidRPr="00623D5E">
        <w:rPr>
          <w:rStyle w:val="fadeinpfttw8"/>
          <w:sz w:val="28"/>
          <w:szCs w:val="28"/>
        </w:rPr>
        <w:t>Access to resources such as printed materials, digital platforms, and visual aids</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 xml:space="preserve">Furthermore, education must be seen as a </w:t>
      </w:r>
      <w:r w:rsidRPr="00623D5E">
        <w:rPr>
          <w:rStyle w:val="fadeinpfttw8"/>
          <w:b/>
          <w:bCs/>
          <w:sz w:val="28"/>
          <w:szCs w:val="28"/>
        </w:rPr>
        <w:t>dynamic, ongoing relationship</w:t>
      </w:r>
      <w:r w:rsidRPr="00623D5E">
        <w:rPr>
          <w:rStyle w:val="fadeinpfttw8"/>
          <w:sz w:val="28"/>
          <w:szCs w:val="28"/>
        </w:rPr>
        <w:t>, not a one-time event. Regular follow-ups, reinforcement, and adaptation to life changes or treatment shifts are necessary. Tailoring education to patients’ literacy levels, emotional states, and lifestyle constraints significantly improves its effectiveness.</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 xml:space="preserve">The study also supports the integration of </w:t>
      </w:r>
      <w:r w:rsidRPr="00623D5E">
        <w:rPr>
          <w:rStyle w:val="fadeinpfttw8"/>
          <w:b/>
          <w:bCs/>
          <w:sz w:val="28"/>
          <w:szCs w:val="28"/>
        </w:rPr>
        <w:t>digital technologies</w:t>
      </w:r>
      <w:r w:rsidRPr="00623D5E">
        <w:rPr>
          <w:rStyle w:val="fadeinpfttw8"/>
          <w:sz w:val="28"/>
          <w:szCs w:val="28"/>
        </w:rPr>
        <w:t>—such as reminders, telehealth sessions, and online educational libraries—as tools to extend nursing reach and support self-paced learning.</w:t>
      </w:r>
    </w:p>
    <w:p w:rsidR="00623D5E" w:rsidRPr="00623D5E" w:rsidRDefault="00623D5E" w:rsidP="00623D5E">
      <w:pPr>
        <w:pStyle w:val="3"/>
        <w:spacing w:line="360" w:lineRule="auto"/>
        <w:jc w:val="both"/>
        <w:rPr>
          <w:sz w:val="28"/>
          <w:szCs w:val="28"/>
        </w:rPr>
      </w:pPr>
      <w:r w:rsidRPr="00623D5E">
        <w:rPr>
          <w:rStyle w:val="fadeinpfttw8"/>
          <w:sz w:val="28"/>
          <w:szCs w:val="28"/>
        </w:rPr>
        <w:t>4.4. Contribution to Science and Research</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This thesis makes several unique contributions to the academic and clinical understanding of nursing in IBD care:</w:t>
      </w:r>
    </w:p>
    <w:p w:rsidR="00623D5E" w:rsidRPr="00623D5E" w:rsidRDefault="00623D5E" w:rsidP="0017650E">
      <w:pPr>
        <w:pStyle w:val="a4"/>
        <w:numPr>
          <w:ilvl w:val="0"/>
          <w:numId w:val="40"/>
        </w:numPr>
        <w:spacing w:line="360" w:lineRule="auto"/>
        <w:jc w:val="both"/>
        <w:rPr>
          <w:sz w:val="28"/>
          <w:szCs w:val="28"/>
        </w:rPr>
      </w:pPr>
      <w:r w:rsidRPr="00623D5E">
        <w:rPr>
          <w:rStyle w:val="fadeinpfttw8"/>
          <w:sz w:val="28"/>
          <w:szCs w:val="28"/>
        </w:rPr>
        <w:t>It provides a replicable, real-world model of a nurse-led educational program.</w:t>
      </w:r>
    </w:p>
    <w:p w:rsidR="00623D5E" w:rsidRPr="00623D5E" w:rsidRDefault="00623D5E" w:rsidP="0017650E">
      <w:pPr>
        <w:pStyle w:val="a4"/>
        <w:numPr>
          <w:ilvl w:val="0"/>
          <w:numId w:val="40"/>
        </w:numPr>
        <w:spacing w:line="360" w:lineRule="auto"/>
        <w:jc w:val="both"/>
        <w:rPr>
          <w:sz w:val="28"/>
          <w:szCs w:val="28"/>
        </w:rPr>
      </w:pPr>
      <w:r w:rsidRPr="00623D5E">
        <w:rPr>
          <w:rStyle w:val="fadeinpfttw8"/>
          <w:sz w:val="28"/>
          <w:szCs w:val="28"/>
        </w:rPr>
        <w:t xml:space="preserve">It presents combined </w:t>
      </w:r>
      <w:r w:rsidRPr="00623D5E">
        <w:rPr>
          <w:rStyle w:val="fadeinpfttw8"/>
          <w:b/>
          <w:bCs/>
          <w:sz w:val="28"/>
          <w:szCs w:val="28"/>
        </w:rPr>
        <w:t>quantitative and qualitative evidence</w:t>
      </w:r>
      <w:r w:rsidRPr="00623D5E">
        <w:rPr>
          <w:rStyle w:val="fadeinpfttw8"/>
          <w:sz w:val="28"/>
          <w:szCs w:val="28"/>
        </w:rPr>
        <w:t xml:space="preserve"> of impact on adherence and knowledge.</w:t>
      </w:r>
    </w:p>
    <w:p w:rsidR="00623D5E" w:rsidRPr="00623D5E" w:rsidRDefault="00623D5E" w:rsidP="0017650E">
      <w:pPr>
        <w:pStyle w:val="a4"/>
        <w:numPr>
          <w:ilvl w:val="0"/>
          <w:numId w:val="40"/>
        </w:numPr>
        <w:spacing w:line="360" w:lineRule="auto"/>
        <w:jc w:val="both"/>
        <w:rPr>
          <w:sz w:val="28"/>
          <w:szCs w:val="28"/>
        </w:rPr>
      </w:pPr>
      <w:r w:rsidRPr="00623D5E">
        <w:rPr>
          <w:rStyle w:val="fadeinpfttw8"/>
          <w:sz w:val="28"/>
          <w:szCs w:val="28"/>
        </w:rPr>
        <w:lastRenderedPageBreak/>
        <w:t>It identifies modifiable behavioral and system-level barriers to adherence.</w:t>
      </w:r>
    </w:p>
    <w:p w:rsidR="00623D5E" w:rsidRPr="00623D5E" w:rsidRDefault="00623D5E" w:rsidP="0017650E">
      <w:pPr>
        <w:pStyle w:val="a4"/>
        <w:numPr>
          <w:ilvl w:val="0"/>
          <w:numId w:val="40"/>
        </w:numPr>
        <w:spacing w:line="360" w:lineRule="auto"/>
        <w:jc w:val="both"/>
        <w:rPr>
          <w:sz w:val="28"/>
          <w:szCs w:val="28"/>
        </w:rPr>
      </w:pPr>
      <w:r w:rsidRPr="00623D5E">
        <w:rPr>
          <w:rStyle w:val="fadeinpfttw8"/>
          <w:sz w:val="28"/>
          <w:szCs w:val="28"/>
        </w:rPr>
        <w:t>It frames adherence not just as a clinical goal, but as a relational, psychological, and structural challenge.</w:t>
      </w:r>
    </w:p>
    <w:p w:rsidR="00623D5E" w:rsidRPr="00623D5E" w:rsidRDefault="00623D5E" w:rsidP="0017650E">
      <w:pPr>
        <w:pStyle w:val="a4"/>
        <w:numPr>
          <w:ilvl w:val="0"/>
          <w:numId w:val="40"/>
        </w:numPr>
        <w:spacing w:line="360" w:lineRule="auto"/>
        <w:jc w:val="both"/>
        <w:rPr>
          <w:sz w:val="28"/>
          <w:szCs w:val="28"/>
        </w:rPr>
      </w:pPr>
      <w:r w:rsidRPr="00623D5E">
        <w:rPr>
          <w:rStyle w:val="fadeinpfttw8"/>
          <w:sz w:val="28"/>
          <w:szCs w:val="28"/>
        </w:rPr>
        <w:t xml:space="preserve">It articulates a </w:t>
      </w:r>
      <w:r w:rsidRPr="00623D5E">
        <w:rPr>
          <w:rStyle w:val="fadeinpfttw8"/>
          <w:b/>
          <w:bCs/>
          <w:sz w:val="28"/>
          <w:szCs w:val="28"/>
        </w:rPr>
        <w:t>clear research agenda</w:t>
      </w:r>
      <w:r w:rsidRPr="00623D5E">
        <w:rPr>
          <w:rStyle w:val="fadeinpfttw8"/>
          <w:sz w:val="28"/>
          <w:szCs w:val="28"/>
        </w:rPr>
        <w:t xml:space="preserve"> for the future of IBD nursing education, including the need for long-term studies, economic evaluations, and tailored interventions for vulnerable groups.</w:t>
      </w:r>
    </w:p>
    <w:p w:rsidR="00623D5E" w:rsidRPr="00623D5E" w:rsidRDefault="00623D5E" w:rsidP="00623D5E">
      <w:pPr>
        <w:pStyle w:val="a4"/>
        <w:spacing w:line="360" w:lineRule="auto"/>
        <w:ind w:firstLine="360"/>
        <w:jc w:val="both"/>
        <w:rPr>
          <w:sz w:val="28"/>
          <w:szCs w:val="28"/>
        </w:rPr>
      </w:pPr>
      <w:r w:rsidRPr="00623D5E">
        <w:rPr>
          <w:rStyle w:val="fadeinpfttw8"/>
          <w:sz w:val="28"/>
          <w:szCs w:val="28"/>
        </w:rPr>
        <w:t>Through this work, nursing is positioned not only as a caregiving role but as a scientifically grounded profession capable of leading change in chronic disease care.</w:t>
      </w:r>
    </w:p>
    <w:p w:rsidR="00623D5E" w:rsidRPr="00623D5E" w:rsidRDefault="00623D5E" w:rsidP="00623D5E">
      <w:pPr>
        <w:pStyle w:val="3"/>
        <w:spacing w:line="360" w:lineRule="auto"/>
        <w:jc w:val="both"/>
        <w:rPr>
          <w:sz w:val="28"/>
          <w:szCs w:val="28"/>
        </w:rPr>
      </w:pPr>
      <w:r w:rsidRPr="00623D5E">
        <w:rPr>
          <w:rStyle w:val="fadeinpfttw8"/>
          <w:sz w:val="28"/>
          <w:szCs w:val="28"/>
        </w:rPr>
        <w:t>4.5. Final Reflections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In an era of increasingly complex medicine, patient adherence will always remain a bottleneck unless paired with relational care. Medications, guidelines, and protocols cannot succeed in isolation—they require understanding, trust, belief, and motivation. This is where nurses matter most.</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 xml:space="preserve">The evidence from this study supports the simple yet powerful idea that </w:t>
      </w:r>
      <w:r w:rsidRPr="00623D5E">
        <w:rPr>
          <w:rStyle w:val="fadeinpfttw8"/>
          <w:b/>
          <w:bCs/>
          <w:sz w:val="28"/>
          <w:szCs w:val="28"/>
        </w:rPr>
        <w:t>when nurses educate with empathy, structure, and clarity, patients listen—and act</w:t>
      </w:r>
      <w:r w:rsidRPr="00623D5E">
        <w:rPr>
          <w:rStyle w:val="fadeinpfttw8"/>
          <w:sz w:val="28"/>
          <w:szCs w:val="28"/>
        </w:rPr>
        <w:t>.</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Adherence improves. Anxiety decreases. Engagement grows.</w:t>
      </w:r>
    </w:p>
    <w:p w:rsidR="00623D5E" w:rsidRPr="00623D5E" w:rsidRDefault="00623D5E" w:rsidP="00623D5E">
      <w:pPr>
        <w:pStyle w:val="a4"/>
        <w:spacing w:line="360" w:lineRule="auto"/>
        <w:ind w:firstLine="708"/>
        <w:jc w:val="both"/>
        <w:rPr>
          <w:sz w:val="28"/>
          <w:szCs w:val="28"/>
        </w:rPr>
      </w:pPr>
      <w:r w:rsidRPr="00623D5E">
        <w:rPr>
          <w:rStyle w:val="fadeinpfttw8"/>
          <w:sz w:val="28"/>
          <w:szCs w:val="28"/>
        </w:rPr>
        <w:t xml:space="preserve">As chronic diseases become more common and patient loads increase, the future of healthcare depends not only on new drugs and diagnostics—but on </w:t>
      </w:r>
      <w:r w:rsidRPr="00623D5E">
        <w:rPr>
          <w:rStyle w:val="fadeinpfttw8"/>
          <w:b/>
          <w:bCs/>
          <w:sz w:val="28"/>
          <w:szCs w:val="28"/>
        </w:rPr>
        <w:t>human connection</w:t>
      </w:r>
      <w:r w:rsidRPr="00623D5E">
        <w:rPr>
          <w:rStyle w:val="fadeinpfttw8"/>
          <w:sz w:val="28"/>
          <w:szCs w:val="28"/>
        </w:rPr>
        <w:t xml:space="preserve"> and </w:t>
      </w:r>
      <w:r w:rsidRPr="00623D5E">
        <w:rPr>
          <w:rStyle w:val="fadeinpfttw8"/>
          <w:b/>
          <w:bCs/>
          <w:sz w:val="28"/>
          <w:szCs w:val="28"/>
        </w:rPr>
        <w:t>knowledge transfer</w:t>
      </w:r>
      <w:r w:rsidRPr="00623D5E">
        <w:rPr>
          <w:rStyle w:val="fadeinpfttw8"/>
          <w:sz w:val="28"/>
          <w:szCs w:val="28"/>
        </w:rPr>
        <w:t xml:space="preserve">. In this context, </w:t>
      </w:r>
      <w:r w:rsidRPr="00623D5E">
        <w:rPr>
          <w:rStyle w:val="fadeinpfttw8"/>
          <w:b/>
          <w:bCs/>
          <w:sz w:val="28"/>
          <w:szCs w:val="28"/>
        </w:rPr>
        <w:t>nursing is not supplemental—it is foundational</w:t>
      </w:r>
      <w:r w:rsidRPr="00623D5E">
        <w:rPr>
          <w:rStyle w:val="fadeinpfttw8"/>
          <w:sz w:val="28"/>
          <w:szCs w:val="28"/>
        </w:rPr>
        <w:t>.</w:t>
      </w:r>
    </w:p>
    <w:p w:rsidR="0085295B" w:rsidRDefault="00623D5E" w:rsidP="00623D5E">
      <w:pPr>
        <w:pStyle w:val="a4"/>
        <w:spacing w:line="360" w:lineRule="auto"/>
        <w:ind w:firstLine="708"/>
        <w:jc w:val="both"/>
        <w:rPr>
          <w:rStyle w:val="fadeinpfttw8"/>
          <w:sz w:val="28"/>
          <w:szCs w:val="28"/>
        </w:rPr>
      </w:pPr>
      <w:r w:rsidRPr="00623D5E">
        <w:rPr>
          <w:rStyle w:val="fadeinpfttw8"/>
          <w:sz w:val="28"/>
          <w:szCs w:val="28"/>
        </w:rPr>
        <w:t>This thesis stands as a testament to the capacity of nursing science to transform outcomes, one conversation at a time.</w:t>
      </w:r>
      <w:r w:rsidR="0085295B">
        <w:rPr>
          <w:rStyle w:val="fadeinpfttw8"/>
          <w:sz w:val="28"/>
          <w:szCs w:val="28"/>
        </w:rPr>
        <w:br w:type="page"/>
      </w:r>
    </w:p>
    <w:p w:rsidR="0085295B" w:rsidRPr="0085295B" w:rsidRDefault="0085295B" w:rsidP="0085295B">
      <w:pPr>
        <w:pStyle w:val="2"/>
        <w:spacing w:line="360" w:lineRule="auto"/>
        <w:jc w:val="both"/>
        <w:rPr>
          <w:rFonts w:ascii="Times New Roman" w:hAnsi="Times New Roman" w:cs="Times New Roman"/>
          <w:sz w:val="28"/>
          <w:szCs w:val="28"/>
        </w:rPr>
      </w:pPr>
      <w:r w:rsidRPr="0085295B">
        <w:rPr>
          <w:rStyle w:val="fadeinpfttw8"/>
          <w:rFonts w:ascii="Times New Roman" w:hAnsi="Times New Roman" w:cs="Times New Roman"/>
          <w:sz w:val="28"/>
          <w:szCs w:val="28"/>
        </w:rPr>
        <w:lastRenderedPageBreak/>
        <w:t xml:space="preserve">References </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Braun, V., &amp; Clarke, V. (2006). Using thematic analysis in psychology. </w:t>
      </w:r>
      <w:r w:rsidRPr="0085295B">
        <w:rPr>
          <w:rStyle w:val="fadeinpfttw8"/>
          <w:i/>
          <w:iCs/>
          <w:sz w:val="28"/>
          <w:szCs w:val="28"/>
        </w:rPr>
        <w:t>Qualitative Research in Psychology, 3</w:t>
      </w:r>
      <w:r w:rsidRPr="0085295B">
        <w:rPr>
          <w:rStyle w:val="fadeinpfttw8"/>
          <w:sz w:val="28"/>
          <w:szCs w:val="28"/>
        </w:rPr>
        <w:t>(2), 77–101. https://doi.org/10.1191/1478088706qp063oa</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Casellas, F., López-Vivancos, J., Vergara, M., &amp; Malagelada, J. R. (2015). Impact of inflammatory bowel disease on health-related quality of life. </w:t>
      </w:r>
      <w:r w:rsidRPr="0085295B">
        <w:rPr>
          <w:rStyle w:val="fadeinpfttw8"/>
          <w:i/>
          <w:iCs/>
          <w:sz w:val="28"/>
          <w:szCs w:val="28"/>
        </w:rPr>
        <w:t>Digestive Diseases, 33</w:t>
      </w:r>
      <w:r w:rsidRPr="0085295B">
        <w:rPr>
          <w:rStyle w:val="fadeinpfttw8"/>
          <w:sz w:val="28"/>
          <w:szCs w:val="28"/>
        </w:rPr>
        <w:t>(1), 68–72. https://doi.org/10.1159/000367852</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Crohn’s &amp; Colitis Foundation. (2020). </w:t>
      </w:r>
      <w:r w:rsidRPr="0085295B">
        <w:rPr>
          <w:rStyle w:val="fadeinpfttw8"/>
          <w:i/>
          <w:iCs/>
          <w:sz w:val="28"/>
          <w:szCs w:val="28"/>
        </w:rPr>
        <w:t>Professional resources for healthcare providers</w:t>
      </w:r>
      <w:r w:rsidRPr="0085295B">
        <w:rPr>
          <w:rStyle w:val="fadeinpfttw8"/>
          <w:sz w:val="28"/>
          <w:szCs w:val="28"/>
        </w:rPr>
        <w:t xml:space="preserve">. </w:t>
      </w:r>
      <w:hyperlink r:id="rId8" w:tgtFrame="_new" w:history="1">
        <w:r w:rsidRPr="0085295B">
          <w:rPr>
            <w:rStyle w:val="fadeinpfttw8"/>
            <w:color w:val="0000FF"/>
            <w:sz w:val="28"/>
            <w:szCs w:val="28"/>
            <w:u w:val="single"/>
          </w:rPr>
          <w:t>https://www.crohnscolitisfoundation.org</w:t>
        </w:r>
      </w:hyperlink>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Dignass, A., Lindsay, J. O., Sturm, A., Windsor, A., Colombel, J. F., Allez, M., ... &amp; Travis, S. (2012). Second European evidence-based consensus on the diagnosis and management of ulcerative colitis: Current management. </w:t>
      </w:r>
      <w:r w:rsidRPr="0085295B">
        <w:rPr>
          <w:rStyle w:val="fadeinpfttw8"/>
          <w:i/>
          <w:iCs/>
          <w:sz w:val="28"/>
          <w:szCs w:val="28"/>
        </w:rPr>
        <w:t>Journal of Crohn’s and Colitis, 6</w:t>
      </w:r>
      <w:r w:rsidRPr="0085295B">
        <w:rPr>
          <w:rStyle w:val="fadeinpfttw8"/>
          <w:sz w:val="28"/>
          <w:szCs w:val="28"/>
        </w:rPr>
        <w:t>(10), 991–1030. https://doi.org/10.1016/j.crohns.2012.09.002</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European Crohn’s and Colitis Organisation. (2021). </w:t>
      </w:r>
      <w:r w:rsidRPr="0085295B">
        <w:rPr>
          <w:rStyle w:val="fadeinpfttw8"/>
          <w:i/>
          <w:iCs/>
          <w:sz w:val="28"/>
          <w:szCs w:val="28"/>
        </w:rPr>
        <w:t>ECCO guidelines on the role of the nurse in IBD care</w:t>
      </w:r>
      <w:r w:rsidRPr="0085295B">
        <w:rPr>
          <w:rStyle w:val="fadeinpfttw8"/>
          <w:sz w:val="28"/>
          <w:szCs w:val="28"/>
        </w:rPr>
        <w:t xml:space="preserve">. </w:t>
      </w:r>
      <w:hyperlink r:id="rId9" w:tgtFrame="_new" w:history="1">
        <w:r w:rsidRPr="0085295B">
          <w:rPr>
            <w:rStyle w:val="fadeinpfttw8"/>
            <w:color w:val="0000FF"/>
            <w:sz w:val="28"/>
            <w:szCs w:val="28"/>
            <w:u w:val="single"/>
          </w:rPr>
          <w:t>https://ecco-ibd.eu</w:t>
        </w:r>
      </w:hyperlink>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Global Health Workforce Alliance. (2015). </w:t>
      </w:r>
      <w:r w:rsidRPr="0085295B">
        <w:rPr>
          <w:rStyle w:val="fadeinpfttw8"/>
          <w:i/>
          <w:iCs/>
          <w:sz w:val="28"/>
          <w:szCs w:val="28"/>
        </w:rPr>
        <w:t>A universal truth: No health without a workforce</w:t>
      </w:r>
      <w:r w:rsidRPr="0085295B">
        <w:rPr>
          <w:rStyle w:val="fadeinpfttw8"/>
          <w:sz w:val="28"/>
          <w:szCs w:val="28"/>
        </w:rPr>
        <w:t>. World Health Organization.</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Gonzalez, R. E., &amp; Loftus, E. V. (2018). Patient engagement and education in IBD: Current practices and innovations. </w:t>
      </w:r>
      <w:r w:rsidRPr="0085295B">
        <w:rPr>
          <w:rStyle w:val="fadeinpfttw8"/>
          <w:i/>
          <w:iCs/>
          <w:sz w:val="28"/>
          <w:szCs w:val="28"/>
        </w:rPr>
        <w:t>Gastroenterology Clinics, 47</w:t>
      </w:r>
      <w:r w:rsidRPr="0085295B">
        <w:rPr>
          <w:rStyle w:val="fadeinpfttw8"/>
          <w:sz w:val="28"/>
          <w:szCs w:val="28"/>
        </w:rPr>
        <w:t>(4), 783–800.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Greenhalgh, T., Howick, J., &amp; Maskrey, N. (2014). Evidence-based medicine: A movement in crisis? </w:t>
      </w:r>
      <w:r w:rsidRPr="0085295B">
        <w:rPr>
          <w:rStyle w:val="fadeinpfttw8"/>
          <w:i/>
          <w:iCs/>
          <w:sz w:val="28"/>
          <w:szCs w:val="28"/>
        </w:rPr>
        <w:t>BMJ, 348</w:t>
      </w:r>
      <w:r w:rsidRPr="0085295B">
        <w:rPr>
          <w:rStyle w:val="fadeinpfttw8"/>
          <w:sz w:val="28"/>
          <w:szCs w:val="28"/>
        </w:rPr>
        <w:t>, g3725. https://doi.org/10.1136/bmj.g3725</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Horne, R., Weinman, J., Barber, N., Elliott, R., &amp; Morgan, M. (2005). </w:t>
      </w:r>
      <w:r w:rsidRPr="0085295B">
        <w:rPr>
          <w:rStyle w:val="fadeinpfttw8"/>
          <w:i/>
          <w:iCs/>
          <w:sz w:val="28"/>
          <w:szCs w:val="28"/>
        </w:rPr>
        <w:t>Concordance, adherence and compliance in medicine taking</w:t>
      </w:r>
      <w:r w:rsidRPr="0085295B">
        <w:rPr>
          <w:rStyle w:val="fadeinpfttw8"/>
          <w:sz w:val="28"/>
          <w:szCs w:val="28"/>
        </w:rPr>
        <w:t>. NCCSDO.</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Hou, J. K., Lee, D., &amp; Lewis, J. (2020). Diet and inflammatory bowel disease: Review of patient-targeted recommendations. </w:t>
      </w:r>
      <w:r w:rsidRPr="0085295B">
        <w:rPr>
          <w:rStyle w:val="fadeinpfttw8"/>
          <w:i/>
          <w:iCs/>
          <w:sz w:val="28"/>
          <w:szCs w:val="28"/>
        </w:rPr>
        <w:t>Clinical Gastroenterology and Hepatology, 18</w:t>
      </w:r>
      <w:r w:rsidRPr="0085295B">
        <w:rPr>
          <w:rStyle w:val="fadeinpfttw8"/>
          <w:sz w:val="28"/>
          <w:szCs w:val="28"/>
        </w:rPr>
        <w:t>(6), 1187–1196. https://doi.org/10.1016/j.cgh.2019.09.030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International Council of Nurses. (2021). </w:t>
      </w:r>
      <w:r w:rsidRPr="0085295B">
        <w:rPr>
          <w:rStyle w:val="fadeinpfttw8"/>
          <w:i/>
          <w:iCs/>
          <w:sz w:val="28"/>
          <w:szCs w:val="28"/>
        </w:rPr>
        <w:t>ICN Code of Ethics for Nurses</w:t>
      </w:r>
      <w:r w:rsidRPr="0085295B">
        <w:rPr>
          <w:rStyle w:val="fadeinpfttw8"/>
          <w:sz w:val="28"/>
          <w:szCs w:val="28"/>
        </w:rPr>
        <w:t xml:space="preserve">. </w:t>
      </w:r>
      <w:hyperlink r:id="rId10" w:tgtFrame="_new" w:history="1">
        <w:r w:rsidRPr="0085295B">
          <w:rPr>
            <w:rStyle w:val="fadeinpfttw8"/>
            <w:color w:val="0000FF"/>
            <w:sz w:val="28"/>
            <w:szCs w:val="28"/>
            <w:u w:val="single"/>
          </w:rPr>
          <w:t>https://www.icn.ch</w:t>
        </w:r>
      </w:hyperlink>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lastRenderedPageBreak/>
        <w:t xml:space="preserve">Jackson, C. A., Clatworthy, J., Robinson, A., &amp; Horne, R. (2015). Factors associated with non-adherence to oral medication in IBD: A systematic review. </w:t>
      </w:r>
      <w:r w:rsidRPr="0085295B">
        <w:rPr>
          <w:rStyle w:val="fadeinpfttw8"/>
          <w:i/>
          <w:iCs/>
          <w:sz w:val="28"/>
          <w:szCs w:val="28"/>
        </w:rPr>
        <w:t>American Journal of Gastroenterology, 105</w:t>
      </w:r>
      <w:r w:rsidRPr="0085295B">
        <w:rPr>
          <w:rStyle w:val="fadeinpfttw8"/>
          <w:sz w:val="28"/>
          <w:szCs w:val="28"/>
        </w:rPr>
        <w:t>(3), 525–539.</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Kim, Y. J., Kim, N., &amp; Lee, J. H. (2017). Patient education improves medication adherence and clinical outcomes in patients with IBD. </w:t>
      </w:r>
      <w:r w:rsidRPr="0085295B">
        <w:rPr>
          <w:rStyle w:val="fadeinpfttw8"/>
          <w:i/>
          <w:iCs/>
          <w:sz w:val="28"/>
          <w:szCs w:val="28"/>
        </w:rPr>
        <w:t>Intestinal Research, 15</w:t>
      </w:r>
      <w:r w:rsidRPr="0085295B">
        <w:rPr>
          <w:rStyle w:val="fadeinpfttw8"/>
          <w:sz w:val="28"/>
          <w:szCs w:val="28"/>
        </w:rPr>
        <w:t>(3), 303–310.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Knafl, K., Deatrick, J., Gallo, A., Dixon, J., Grey, M., &amp; Knafl, G. (2011). Assessment of the chronic illness trajectory framework. </w:t>
      </w:r>
      <w:r w:rsidRPr="0085295B">
        <w:rPr>
          <w:rStyle w:val="fadeinpfttw8"/>
          <w:i/>
          <w:iCs/>
          <w:sz w:val="28"/>
          <w:szCs w:val="28"/>
        </w:rPr>
        <w:t>Research in Nursing &amp; Health, 34</w:t>
      </w:r>
      <w:r w:rsidRPr="0085295B">
        <w:rPr>
          <w:rStyle w:val="fadeinpfttw8"/>
          <w:sz w:val="28"/>
          <w:szCs w:val="28"/>
        </w:rPr>
        <w:t>(2), 103–118.</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Lenti, M. V., Leung, H., Micic, D., &amp; Zhang, Y. (2021). Nurse-led interventions in IBD care: A meta-analysis. </w:t>
      </w:r>
      <w:r w:rsidRPr="0085295B">
        <w:rPr>
          <w:rStyle w:val="fadeinpfttw8"/>
          <w:i/>
          <w:iCs/>
          <w:sz w:val="28"/>
          <w:szCs w:val="28"/>
        </w:rPr>
        <w:t>Journal of Crohn's and Colitis, 15</w:t>
      </w:r>
      <w:r w:rsidRPr="0085295B">
        <w:rPr>
          <w:rStyle w:val="fadeinpfttw8"/>
          <w:sz w:val="28"/>
          <w:szCs w:val="28"/>
        </w:rPr>
        <w:t>(6), 978–988. https://doi.org/10.1093/ecco-jcc/jjaa240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Lorig, K. R., &amp; Holman, H. (2003). Self-management education: History, definition, outcomes, and mechanisms. </w:t>
      </w:r>
      <w:r w:rsidRPr="0085295B">
        <w:rPr>
          <w:rStyle w:val="fadeinpfttw8"/>
          <w:i/>
          <w:iCs/>
          <w:sz w:val="28"/>
          <w:szCs w:val="28"/>
        </w:rPr>
        <w:t>Annals of Behavioral Medicine, 26</w:t>
      </w:r>
      <w:r w:rsidRPr="0085295B">
        <w:rPr>
          <w:rStyle w:val="fadeinpfttw8"/>
          <w:sz w:val="28"/>
          <w:szCs w:val="28"/>
        </w:rPr>
        <w:t>(1), 1–7.</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McCombie, A. M., Mulder, C. J., &amp; Barclay, M. L. (2019). A nurse-led telephone service for IBD: Patient perspectives. </w:t>
      </w:r>
      <w:r w:rsidRPr="0085295B">
        <w:rPr>
          <w:rStyle w:val="fadeinpfttw8"/>
          <w:i/>
          <w:iCs/>
          <w:sz w:val="28"/>
          <w:szCs w:val="28"/>
        </w:rPr>
        <w:t>Inflammatory Bowel Diseases, 25</w:t>
      </w:r>
      <w:r w:rsidRPr="0085295B">
        <w:rPr>
          <w:rStyle w:val="fadeinpfttw8"/>
          <w:sz w:val="28"/>
          <w:szCs w:val="28"/>
        </w:rPr>
        <w:t>(7), 1134–1142.</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Morisky, D. E., Ang, A., Krousel-Wood, M., &amp; Ward, H. J. (2008). Predictive validity of a medication adherence measure. </w:t>
      </w:r>
      <w:r w:rsidRPr="0085295B">
        <w:rPr>
          <w:rStyle w:val="fadeinpfttw8"/>
          <w:i/>
          <w:iCs/>
          <w:sz w:val="28"/>
          <w:szCs w:val="28"/>
        </w:rPr>
        <w:t>Journal of Clinical Hypertension, 10</w:t>
      </w:r>
      <w:r w:rsidRPr="0085295B">
        <w:rPr>
          <w:rStyle w:val="fadeinpfttw8"/>
          <w:sz w:val="28"/>
          <w:szCs w:val="28"/>
        </w:rPr>
        <w:t>(5), 348–354.</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NICE. (2015). </w:t>
      </w:r>
      <w:r w:rsidRPr="0085295B">
        <w:rPr>
          <w:rStyle w:val="fadeinpfttw8"/>
          <w:i/>
          <w:iCs/>
          <w:sz w:val="28"/>
          <w:szCs w:val="28"/>
        </w:rPr>
        <w:t>Inflammatory bowel disease: Quality standard (QS81)</w:t>
      </w:r>
      <w:r w:rsidRPr="0085295B">
        <w:rPr>
          <w:rStyle w:val="fadeinpfttw8"/>
          <w:sz w:val="28"/>
          <w:szCs w:val="28"/>
        </w:rPr>
        <w:t>. https://www.nice.org.uk/guidance/qs81</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Nordin, K., Pahlman, L., Larsson, G., Sundberg-Hjelm, M., &amp; Lopez, R. (2002). Health-related quality of life and psychological distress in IBD patients. </w:t>
      </w:r>
      <w:r w:rsidRPr="0085295B">
        <w:rPr>
          <w:rStyle w:val="fadeinpfttw8"/>
          <w:i/>
          <w:iCs/>
          <w:sz w:val="28"/>
          <w:szCs w:val="28"/>
        </w:rPr>
        <w:t>Scandinavian Journal of Gastroenterology, 37</w:t>
      </w:r>
      <w:r w:rsidRPr="0085295B">
        <w:rPr>
          <w:rStyle w:val="fadeinpfttw8"/>
          <w:sz w:val="28"/>
          <w:szCs w:val="28"/>
        </w:rPr>
        <w:t>(5), 512–520.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Orem, D. E. (2001). </w:t>
      </w:r>
      <w:r w:rsidRPr="0085295B">
        <w:rPr>
          <w:rStyle w:val="fadeinpfttw8"/>
          <w:i/>
          <w:iCs/>
          <w:sz w:val="28"/>
          <w:szCs w:val="28"/>
        </w:rPr>
        <w:t>Nursing: Concepts of practice</w:t>
      </w:r>
      <w:r w:rsidRPr="0085295B">
        <w:rPr>
          <w:rStyle w:val="fadeinpfttw8"/>
          <w:sz w:val="28"/>
          <w:szCs w:val="28"/>
        </w:rPr>
        <w:t xml:space="preserve"> (6th ed.). Mosby.</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Oviedo Convention. (1997). </w:t>
      </w:r>
      <w:r w:rsidRPr="0085295B">
        <w:rPr>
          <w:rStyle w:val="fadeinpfttw8"/>
          <w:i/>
          <w:iCs/>
          <w:sz w:val="28"/>
          <w:szCs w:val="28"/>
        </w:rPr>
        <w:t>Convention on Human Rights and Biomedicine</w:t>
      </w:r>
      <w:r w:rsidRPr="0085295B">
        <w:rPr>
          <w:rStyle w:val="fadeinpfttw8"/>
          <w:sz w:val="28"/>
          <w:szCs w:val="28"/>
        </w:rPr>
        <w:t>. Council of Europe.</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lastRenderedPageBreak/>
        <w:t xml:space="preserve">Phillips, C. J., Marshall, A. P., &amp; Chaves, N. J. (2017). Education to improve medication adherence in chronic illness. </w:t>
      </w:r>
      <w:r w:rsidRPr="0085295B">
        <w:rPr>
          <w:rStyle w:val="fadeinpfttw8"/>
          <w:i/>
          <w:iCs/>
          <w:sz w:val="28"/>
          <w:szCs w:val="28"/>
        </w:rPr>
        <w:t>Cochrane Database of Systematic Reviews, 2</w:t>
      </w:r>
      <w:r w:rsidRPr="0085295B">
        <w:rPr>
          <w:rStyle w:val="fadeinpfttw8"/>
          <w:sz w:val="28"/>
          <w:szCs w:val="28"/>
        </w:rPr>
        <w:t>, CD012226.</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Polit, D. F., &amp; Beck, C. T. (2021). </w:t>
      </w:r>
      <w:r w:rsidRPr="0085295B">
        <w:rPr>
          <w:rStyle w:val="fadeinpfttw8"/>
          <w:i/>
          <w:iCs/>
          <w:sz w:val="28"/>
          <w:szCs w:val="28"/>
        </w:rPr>
        <w:t>Nursing research: Generating and assessing evidence for nursing practice</w:t>
      </w:r>
      <w:r w:rsidRPr="0085295B">
        <w:rPr>
          <w:rStyle w:val="fadeinpfttw8"/>
          <w:sz w:val="28"/>
          <w:szCs w:val="28"/>
        </w:rPr>
        <w:t xml:space="preserve"> (11th ed.). Wolters Kluwer.</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Rubin, G. P., Hungin, A. P., Chinn, D. J., &amp; Dwarakanath, A. D. (2004). Quality of life in IBD: The patient’s perspective. </w:t>
      </w:r>
      <w:r w:rsidRPr="0085295B">
        <w:rPr>
          <w:rStyle w:val="fadeinpfttw8"/>
          <w:i/>
          <w:iCs/>
          <w:sz w:val="28"/>
          <w:szCs w:val="28"/>
        </w:rPr>
        <w:t>European Journal of Gastroenterology &amp; Hepatology, 16</w:t>
      </w:r>
      <w:r w:rsidRPr="0085295B">
        <w:rPr>
          <w:rStyle w:val="fadeinpfttw8"/>
          <w:sz w:val="28"/>
          <w:szCs w:val="28"/>
        </w:rPr>
        <w:t>(12), 1273–1278.</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Sabaté, E. (2003). </w:t>
      </w:r>
      <w:r w:rsidRPr="0085295B">
        <w:rPr>
          <w:rStyle w:val="fadeinpfttw8"/>
          <w:i/>
          <w:iCs/>
          <w:sz w:val="28"/>
          <w:szCs w:val="28"/>
        </w:rPr>
        <w:t>Adherence to long-term therapies: Evidence for action</w:t>
      </w:r>
      <w:r w:rsidRPr="0085295B">
        <w:rPr>
          <w:rStyle w:val="fadeinpfttw8"/>
          <w:sz w:val="28"/>
          <w:szCs w:val="28"/>
        </w:rPr>
        <w:t>. World Health Organization.</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Sandelowski, M. (2000). Focus on research methods: Whatever happened to qualitative description? </w:t>
      </w:r>
      <w:r w:rsidRPr="0085295B">
        <w:rPr>
          <w:rStyle w:val="fadeinpfttw8"/>
          <w:i/>
          <w:iCs/>
          <w:sz w:val="28"/>
          <w:szCs w:val="28"/>
        </w:rPr>
        <w:t>Research in Nursing &amp; Health, 23</w:t>
      </w:r>
      <w:r w:rsidRPr="0085295B">
        <w:rPr>
          <w:rStyle w:val="fadeinpfttw8"/>
          <w:sz w:val="28"/>
          <w:szCs w:val="28"/>
        </w:rPr>
        <w:t>(4), 334–340.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Schreiner, P., Rossel, J. B., &amp; Biedermann, L. (2020). Disease monitoring in IBD: Current practice and future perspectives. </w:t>
      </w:r>
      <w:r w:rsidRPr="0085295B">
        <w:rPr>
          <w:rStyle w:val="fadeinpfttw8"/>
          <w:i/>
          <w:iCs/>
          <w:sz w:val="28"/>
          <w:szCs w:val="28"/>
        </w:rPr>
        <w:t>Therapeutic Advances in Gastroenterology, 13</w:t>
      </w:r>
      <w:r w:rsidRPr="0085295B">
        <w:rPr>
          <w:rStyle w:val="fadeinpfttw8"/>
          <w:sz w:val="28"/>
          <w:szCs w:val="28"/>
        </w:rPr>
        <w:t>, 1756284820911039.</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Sidani, S., &amp; Braden, C. J. (2011). </w:t>
      </w:r>
      <w:r w:rsidRPr="0085295B">
        <w:rPr>
          <w:rStyle w:val="fadeinpfttw8"/>
          <w:i/>
          <w:iCs/>
          <w:sz w:val="28"/>
          <w:szCs w:val="28"/>
        </w:rPr>
        <w:t>Design, evaluation, and translation of nursing interventions</w:t>
      </w:r>
      <w:r w:rsidRPr="0085295B">
        <w:rPr>
          <w:rStyle w:val="fadeinpfttw8"/>
          <w:sz w:val="28"/>
          <w:szCs w:val="28"/>
        </w:rPr>
        <w:t>. Wiley-Blackwell.</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Smolen, J. S., Aletaha, D., &amp; McInnes, I. B. (2016). Rheumatoid arthritis. </w:t>
      </w:r>
      <w:r w:rsidRPr="0085295B">
        <w:rPr>
          <w:rStyle w:val="fadeinpfttw8"/>
          <w:i/>
          <w:iCs/>
          <w:sz w:val="28"/>
          <w:szCs w:val="28"/>
        </w:rPr>
        <w:t>The Lancet, 388</w:t>
      </w:r>
      <w:r w:rsidRPr="0085295B">
        <w:rPr>
          <w:rStyle w:val="fadeinpfttw8"/>
          <w:sz w:val="28"/>
          <w:szCs w:val="28"/>
        </w:rPr>
        <w:t>(10055), 2023–2038.</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Sperber, A. D., Shvartzman, P., Friger, M., &amp; Fich, A. (2003). A comparative study of IBD patients in two cultures. </w:t>
      </w:r>
      <w:r w:rsidRPr="0085295B">
        <w:rPr>
          <w:rStyle w:val="fadeinpfttw8"/>
          <w:i/>
          <w:iCs/>
          <w:sz w:val="28"/>
          <w:szCs w:val="28"/>
        </w:rPr>
        <w:t>American Journal of Gastroenterology, 98</w:t>
      </w:r>
      <w:r w:rsidRPr="0085295B">
        <w:rPr>
          <w:rStyle w:val="fadeinpfttw8"/>
          <w:sz w:val="28"/>
          <w:szCs w:val="28"/>
        </w:rPr>
        <w:t>(11), 2400–2405.</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Stok, F. M., Renner, B., Clarys, P., Lien, N., Lakerveld, J., &amp; Deliens, T. (2018). Health promotion: Challenges in adoption and implementation. </w:t>
      </w:r>
      <w:r w:rsidRPr="0085295B">
        <w:rPr>
          <w:rStyle w:val="fadeinpfttw8"/>
          <w:i/>
          <w:iCs/>
          <w:sz w:val="28"/>
          <w:szCs w:val="28"/>
        </w:rPr>
        <w:t>Health Promotion International, 33</w:t>
      </w:r>
      <w:r w:rsidRPr="0085295B">
        <w:rPr>
          <w:rStyle w:val="fadeinpfttw8"/>
          <w:sz w:val="28"/>
          <w:szCs w:val="28"/>
        </w:rPr>
        <w:t>(1), 1–10.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Travis, S. P., Stange, E. F., &amp; Lémann, M. (2008). Optimizing the use of azathioprine in IBD. </w:t>
      </w:r>
      <w:r w:rsidRPr="0085295B">
        <w:rPr>
          <w:rStyle w:val="fadeinpfttw8"/>
          <w:i/>
          <w:iCs/>
          <w:sz w:val="28"/>
          <w:szCs w:val="28"/>
        </w:rPr>
        <w:t>Gut, 57</w:t>
      </w:r>
      <w:r w:rsidRPr="0085295B">
        <w:rPr>
          <w:rStyle w:val="fadeinpfttw8"/>
          <w:sz w:val="28"/>
          <w:szCs w:val="28"/>
        </w:rPr>
        <w:t>(9), 1295–1302.</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van der Have, M., Fidder, H. H., Leenders, M., &amp; van der Vrie, W. (2015). The IBD disability index: Development and validation. </w:t>
      </w:r>
      <w:r w:rsidRPr="0085295B">
        <w:rPr>
          <w:rStyle w:val="fadeinpfttw8"/>
          <w:i/>
          <w:iCs/>
          <w:sz w:val="28"/>
          <w:szCs w:val="28"/>
        </w:rPr>
        <w:t>Inflammatory Bowel Diseases, 21</w:t>
      </w:r>
      <w:r w:rsidRPr="0085295B">
        <w:rPr>
          <w:rStyle w:val="fadeinpfttw8"/>
          <w:sz w:val="28"/>
          <w:szCs w:val="28"/>
        </w:rPr>
        <w:t>(2), 323–328.</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lastRenderedPageBreak/>
        <w:t xml:space="preserve">Vermeire, S., Van Assche, G., &amp; Rutgeerts, P. (2006). The role of anti-TNF therapy in IBD. </w:t>
      </w:r>
      <w:r w:rsidRPr="0085295B">
        <w:rPr>
          <w:rStyle w:val="fadeinpfttw8"/>
          <w:i/>
          <w:iCs/>
          <w:sz w:val="28"/>
          <w:szCs w:val="28"/>
        </w:rPr>
        <w:t>Gut, 55</w:t>
      </w:r>
      <w:r w:rsidRPr="0085295B">
        <w:rPr>
          <w:rStyle w:val="fadeinpfttw8"/>
          <w:sz w:val="28"/>
          <w:szCs w:val="28"/>
        </w:rPr>
        <w:t>(3), 335–341.</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Warren, L. R., Clarke, J. R., Arora, S., &amp; Darzi, A. (2014). Improving patient adherence: A systematic review. </w:t>
      </w:r>
      <w:r w:rsidRPr="0085295B">
        <w:rPr>
          <w:rStyle w:val="fadeinpfttw8"/>
          <w:i/>
          <w:iCs/>
          <w:sz w:val="28"/>
          <w:szCs w:val="28"/>
        </w:rPr>
        <w:t>Patient Preference and Adherence, 8</w:t>
      </w:r>
      <w:r w:rsidRPr="0085295B">
        <w:rPr>
          <w:rStyle w:val="fadeinpfttw8"/>
          <w:sz w:val="28"/>
          <w:szCs w:val="28"/>
        </w:rPr>
        <w:t>, 211–221.</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Whitehead, L. (2007). The patient–provider relationship in chronic illness. </w:t>
      </w:r>
      <w:r w:rsidRPr="0085295B">
        <w:rPr>
          <w:rStyle w:val="fadeinpfttw8"/>
          <w:i/>
          <w:iCs/>
          <w:sz w:val="28"/>
          <w:szCs w:val="28"/>
        </w:rPr>
        <w:t>Journal of Clinical Nursing, 16</w:t>
      </w:r>
      <w:r w:rsidRPr="0085295B">
        <w:rPr>
          <w:rStyle w:val="fadeinpfttw8"/>
          <w:sz w:val="28"/>
          <w:szCs w:val="28"/>
        </w:rPr>
        <w:t>(3), 437–444.</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WHO. (2013). </w:t>
      </w:r>
      <w:r w:rsidRPr="0085295B">
        <w:rPr>
          <w:rStyle w:val="fadeinpfttw8"/>
          <w:i/>
          <w:iCs/>
          <w:sz w:val="28"/>
          <w:szCs w:val="28"/>
        </w:rPr>
        <w:t>Health literacy: The solid facts</w:t>
      </w:r>
      <w:r w:rsidRPr="0085295B">
        <w:rPr>
          <w:rStyle w:val="fadeinpfttw8"/>
          <w:sz w:val="28"/>
          <w:szCs w:val="28"/>
        </w:rPr>
        <w:t xml:space="preserve">. </w:t>
      </w:r>
      <w:hyperlink r:id="rId11" w:tgtFrame="_new" w:history="1">
        <w:r w:rsidRPr="0085295B">
          <w:rPr>
            <w:rStyle w:val="fadeinpfttw8"/>
            <w:color w:val="0000FF"/>
            <w:sz w:val="28"/>
            <w:szCs w:val="28"/>
            <w:u w:val="single"/>
          </w:rPr>
          <w:t>https://www.euro.who.int/en/publications/abstracts/health-literacy.-the-solid-facts</w:t>
        </w:r>
      </w:hyperlink>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WHO. (2016). </w:t>
      </w:r>
      <w:r w:rsidRPr="0085295B">
        <w:rPr>
          <w:rStyle w:val="fadeinpfttw8"/>
          <w:i/>
          <w:iCs/>
          <w:sz w:val="28"/>
          <w:szCs w:val="28"/>
        </w:rPr>
        <w:t>Framework on integrated, people-centred health services</w:t>
      </w:r>
      <w:r w:rsidRPr="0085295B">
        <w:rPr>
          <w:rStyle w:val="fadeinpfttw8"/>
          <w:sz w:val="28"/>
          <w:szCs w:val="28"/>
        </w:rPr>
        <w:t xml:space="preserve">. </w:t>
      </w:r>
      <w:hyperlink r:id="rId12" w:tgtFrame="_new" w:history="1">
        <w:r w:rsidRPr="0085295B">
          <w:rPr>
            <w:rStyle w:val="fadeinpfttw8"/>
            <w:color w:val="0000FF"/>
            <w:sz w:val="28"/>
            <w:szCs w:val="28"/>
            <w:u w:val="single"/>
          </w:rPr>
          <w:t>https://www.who.int/publications/i/item/9789241565257</w:t>
        </w:r>
      </w:hyperlink>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Williams, A. (2010). Patient education and health literacy in nursing. </w:t>
      </w:r>
      <w:r w:rsidRPr="0085295B">
        <w:rPr>
          <w:rStyle w:val="fadeinpfttw8"/>
          <w:i/>
          <w:iCs/>
          <w:sz w:val="28"/>
          <w:szCs w:val="28"/>
        </w:rPr>
        <w:t>Nursing Standard, 24</w:t>
      </w:r>
      <w:r w:rsidRPr="0085295B">
        <w:rPr>
          <w:rStyle w:val="fadeinpfttw8"/>
          <w:sz w:val="28"/>
          <w:szCs w:val="28"/>
        </w:rPr>
        <w:t>(40), 51–57.</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Wilson, C. J., &amp; Bungay, H. (2013). The effectiveness of nurse-led interventions. </w:t>
      </w:r>
      <w:r w:rsidRPr="0085295B">
        <w:rPr>
          <w:rStyle w:val="fadeinpfttw8"/>
          <w:i/>
          <w:iCs/>
          <w:sz w:val="28"/>
          <w:szCs w:val="28"/>
        </w:rPr>
        <w:t>British Journal of Nursing, 22</w:t>
      </w:r>
      <w:r w:rsidRPr="0085295B">
        <w:rPr>
          <w:rStyle w:val="fadeinpfttw8"/>
          <w:sz w:val="28"/>
          <w:szCs w:val="28"/>
        </w:rPr>
        <w:t>(6), 323–327.</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Zand, A., Mutlu, E. A., &amp; Mutlu, G. M. (2018). The burden of IBD: Psychological perspectives. </w:t>
      </w:r>
      <w:r w:rsidRPr="0085295B">
        <w:rPr>
          <w:rStyle w:val="fadeinpfttw8"/>
          <w:i/>
          <w:iCs/>
          <w:sz w:val="28"/>
          <w:szCs w:val="28"/>
        </w:rPr>
        <w:t>Journal of Clinical Gastroenterology, 52</w:t>
      </w:r>
      <w:r w:rsidRPr="0085295B">
        <w:rPr>
          <w:rStyle w:val="fadeinpfttw8"/>
          <w:sz w:val="28"/>
          <w:szCs w:val="28"/>
        </w:rPr>
        <w:t>(6), 491–496.</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Zhang, M., Zhang, H., &amp; Fang, L. (2021). Role of digital health tools in chronic care. </w:t>
      </w:r>
      <w:r w:rsidRPr="0085295B">
        <w:rPr>
          <w:rStyle w:val="fadeinpfttw8"/>
          <w:i/>
          <w:iCs/>
          <w:sz w:val="28"/>
          <w:szCs w:val="28"/>
        </w:rPr>
        <w:t>JMIR Medical Informatics, 9</w:t>
      </w:r>
      <w:r w:rsidRPr="0085295B">
        <w:rPr>
          <w:rStyle w:val="fadeinpfttw8"/>
          <w:sz w:val="28"/>
          <w:szCs w:val="28"/>
        </w:rPr>
        <w:t>(2), e22510.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Zisman, T. L., &amp; Rubin, D. T. (2018). Impact of educational support on adherence in IBD. </w:t>
      </w:r>
      <w:r w:rsidRPr="0085295B">
        <w:rPr>
          <w:rStyle w:val="fadeinpfttw8"/>
          <w:i/>
          <w:iCs/>
          <w:sz w:val="28"/>
          <w:szCs w:val="28"/>
        </w:rPr>
        <w:t>Clinical Gastroenterology and Hepatology, 16</w:t>
      </w:r>
      <w:r w:rsidRPr="0085295B">
        <w:rPr>
          <w:rStyle w:val="fadeinpfttw8"/>
          <w:sz w:val="28"/>
          <w:szCs w:val="28"/>
        </w:rPr>
        <w:t>(5), 752–754.</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Zigmond, A. S., &amp; Snaith, R. P. (1983). The hospital anxiety and depression scale. </w:t>
      </w:r>
      <w:r w:rsidRPr="0085295B">
        <w:rPr>
          <w:rStyle w:val="fadeinpfttw8"/>
          <w:i/>
          <w:iCs/>
          <w:sz w:val="28"/>
          <w:szCs w:val="28"/>
        </w:rPr>
        <w:t>Acta Psychiatrica Scandinavica, 67</w:t>
      </w:r>
      <w:r w:rsidRPr="0085295B">
        <w:rPr>
          <w:rStyle w:val="fadeinpfttw8"/>
          <w:sz w:val="28"/>
          <w:szCs w:val="28"/>
        </w:rPr>
        <w:t>(6), 361–370.</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Zullig, L. L., Bosworth, H. B., &amp; Ho, P. M. (2015). Medication adherence: Challenges and strategies. </w:t>
      </w:r>
      <w:r w:rsidRPr="0085295B">
        <w:rPr>
          <w:rStyle w:val="fadeinpfttw8"/>
          <w:i/>
          <w:iCs/>
          <w:sz w:val="28"/>
          <w:szCs w:val="28"/>
        </w:rPr>
        <w:t>Medical Care, 53</w:t>
      </w:r>
      <w:r w:rsidRPr="0085295B">
        <w:rPr>
          <w:rStyle w:val="fadeinpfttw8"/>
          <w:sz w:val="28"/>
          <w:szCs w:val="28"/>
        </w:rPr>
        <w:t>(4), 301–307.</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Zomerdijk, C., de Boer, D., Peters, M., &amp; Darlington, A. S. (2017). Barriers to adherence in IBD. </w:t>
      </w:r>
      <w:r w:rsidRPr="0085295B">
        <w:rPr>
          <w:rStyle w:val="fadeinpfttw8"/>
          <w:i/>
          <w:iCs/>
          <w:sz w:val="28"/>
          <w:szCs w:val="28"/>
        </w:rPr>
        <w:t>Patient Preference and Adherence, 11</w:t>
      </w:r>
      <w:r w:rsidRPr="0085295B">
        <w:rPr>
          <w:rStyle w:val="fadeinpfttw8"/>
          <w:sz w:val="28"/>
          <w:szCs w:val="28"/>
        </w:rPr>
        <w:t>, 1235–1243.</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McDonald, H. P., Garg, A. X., &amp; Haynes, R. B. (2002). Interventions to enhance patient adherence. </w:t>
      </w:r>
      <w:r w:rsidRPr="0085295B">
        <w:rPr>
          <w:rStyle w:val="fadeinpfttw8"/>
          <w:i/>
          <w:iCs/>
          <w:sz w:val="28"/>
          <w:szCs w:val="28"/>
        </w:rPr>
        <w:t>JAMA, 288</w:t>
      </w:r>
      <w:r w:rsidRPr="0085295B">
        <w:rPr>
          <w:rStyle w:val="fadeinpfttw8"/>
          <w:sz w:val="28"/>
          <w:szCs w:val="28"/>
        </w:rPr>
        <w:t>(22), 2868–2879.</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t xml:space="preserve">Osterberg, L., &amp; Blaschke, T. (2005). Adherence to medication. </w:t>
      </w:r>
      <w:r w:rsidRPr="0085295B">
        <w:rPr>
          <w:rStyle w:val="fadeinpfttw8"/>
          <w:i/>
          <w:iCs/>
          <w:sz w:val="28"/>
          <w:szCs w:val="28"/>
        </w:rPr>
        <w:t>New England Journal of Medicine, 353</w:t>
      </w:r>
      <w:r w:rsidRPr="0085295B">
        <w:rPr>
          <w:rStyle w:val="fadeinpfttw8"/>
          <w:sz w:val="28"/>
          <w:szCs w:val="28"/>
        </w:rPr>
        <w:t>(5), 487–497.</w:t>
      </w:r>
    </w:p>
    <w:p w:rsidR="0085295B" w:rsidRPr="0085295B" w:rsidRDefault="0085295B" w:rsidP="0017650E">
      <w:pPr>
        <w:pStyle w:val="a4"/>
        <w:numPr>
          <w:ilvl w:val="0"/>
          <w:numId w:val="55"/>
        </w:numPr>
        <w:spacing w:line="360" w:lineRule="auto"/>
        <w:jc w:val="both"/>
        <w:rPr>
          <w:sz w:val="28"/>
          <w:szCs w:val="28"/>
        </w:rPr>
      </w:pPr>
      <w:r w:rsidRPr="0085295B">
        <w:rPr>
          <w:rStyle w:val="fadeinpfttw8"/>
          <w:sz w:val="28"/>
          <w:szCs w:val="28"/>
        </w:rPr>
        <w:lastRenderedPageBreak/>
        <w:t xml:space="preserve">Freburger, J. K., Callahan, L. F., &amp; Currey, S. S. (2003). Using the chronic care model. </w:t>
      </w:r>
      <w:r w:rsidRPr="0085295B">
        <w:rPr>
          <w:rStyle w:val="fadeinpfttw8"/>
          <w:i/>
          <w:iCs/>
          <w:sz w:val="28"/>
          <w:szCs w:val="28"/>
        </w:rPr>
        <w:t>Health Services Research, 38</w:t>
      </w:r>
      <w:r w:rsidRPr="0085295B">
        <w:rPr>
          <w:rStyle w:val="fadeinpfttw8"/>
          <w:sz w:val="28"/>
          <w:szCs w:val="28"/>
        </w:rPr>
        <w:t>(6p1), 1511–1535.</w:t>
      </w:r>
    </w:p>
    <w:p w:rsidR="00623D5E" w:rsidRPr="0085295B" w:rsidRDefault="00623D5E" w:rsidP="0085295B">
      <w:pPr>
        <w:pStyle w:val="a4"/>
        <w:spacing w:line="360" w:lineRule="auto"/>
        <w:ind w:firstLine="708"/>
        <w:jc w:val="both"/>
        <w:rPr>
          <w:sz w:val="28"/>
          <w:szCs w:val="28"/>
        </w:rPr>
      </w:pPr>
    </w:p>
    <w:p w:rsidR="00B2321A" w:rsidRPr="0085295B" w:rsidRDefault="00B2321A" w:rsidP="0085295B">
      <w:pPr>
        <w:pStyle w:val="a4"/>
        <w:spacing w:line="360" w:lineRule="auto"/>
        <w:ind w:firstLine="360"/>
        <w:jc w:val="both"/>
        <w:rPr>
          <w:sz w:val="28"/>
          <w:szCs w:val="28"/>
        </w:rPr>
      </w:pPr>
    </w:p>
    <w:p w:rsidR="00C26AB0" w:rsidRPr="0085295B" w:rsidRDefault="00C26AB0" w:rsidP="0085295B">
      <w:pPr>
        <w:pStyle w:val="a4"/>
        <w:spacing w:line="360" w:lineRule="auto"/>
        <w:ind w:firstLine="708"/>
        <w:jc w:val="both"/>
        <w:rPr>
          <w:sz w:val="28"/>
          <w:szCs w:val="28"/>
        </w:rPr>
      </w:pPr>
    </w:p>
    <w:p w:rsidR="00A03462" w:rsidRPr="0085295B" w:rsidRDefault="00A03462" w:rsidP="0085295B">
      <w:pPr>
        <w:spacing w:line="360" w:lineRule="auto"/>
        <w:jc w:val="both"/>
        <w:rPr>
          <w:sz w:val="28"/>
          <w:szCs w:val="28"/>
        </w:rPr>
      </w:pPr>
    </w:p>
    <w:sectPr w:rsidR="00A03462" w:rsidRPr="0085295B" w:rsidSect="002C5602">
      <w:pgSz w:w="11906" w:h="16838"/>
      <w:pgMar w:top="1134" w:right="1134" w:bottom="1134"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pple Color Emoji">
    <w:altName w:val="MS Gothic"/>
    <w:charset w:val="00"/>
    <w:family w:val="auto"/>
    <w:pitch w:val="variable"/>
    <w:sig w:usb0="00000003" w:usb1="18000000" w:usb2="14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F47C4"/>
    <w:multiLevelType w:val="multilevel"/>
    <w:tmpl w:val="D86C6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191880"/>
    <w:multiLevelType w:val="multilevel"/>
    <w:tmpl w:val="44A62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9F2226"/>
    <w:multiLevelType w:val="multilevel"/>
    <w:tmpl w:val="82F6A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C660D"/>
    <w:multiLevelType w:val="multilevel"/>
    <w:tmpl w:val="808E5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1A5C2F"/>
    <w:multiLevelType w:val="multilevel"/>
    <w:tmpl w:val="6BB6B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566B84"/>
    <w:multiLevelType w:val="multilevel"/>
    <w:tmpl w:val="F6BE6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5B7BF6"/>
    <w:multiLevelType w:val="multilevel"/>
    <w:tmpl w:val="9F7CF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9850FE"/>
    <w:multiLevelType w:val="multilevel"/>
    <w:tmpl w:val="ED28A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C0640E"/>
    <w:multiLevelType w:val="multilevel"/>
    <w:tmpl w:val="64A45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8C857A4"/>
    <w:multiLevelType w:val="multilevel"/>
    <w:tmpl w:val="E1E23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705F28"/>
    <w:multiLevelType w:val="multilevel"/>
    <w:tmpl w:val="BC2C8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6832AA"/>
    <w:multiLevelType w:val="multilevel"/>
    <w:tmpl w:val="A6522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9C6828"/>
    <w:multiLevelType w:val="multilevel"/>
    <w:tmpl w:val="37FE8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157822"/>
    <w:multiLevelType w:val="multilevel"/>
    <w:tmpl w:val="F3780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CE2EAB"/>
    <w:multiLevelType w:val="multilevel"/>
    <w:tmpl w:val="3E9A1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7E69B9"/>
    <w:multiLevelType w:val="multilevel"/>
    <w:tmpl w:val="5A46B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466A1D"/>
    <w:multiLevelType w:val="multilevel"/>
    <w:tmpl w:val="441EA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3C15CB"/>
    <w:multiLevelType w:val="multilevel"/>
    <w:tmpl w:val="87C29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D3E56DB"/>
    <w:multiLevelType w:val="multilevel"/>
    <w:tmpl w:val="B838D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C6388B"/>
    <w:multiLevelType w:val="multilevel"/>
    <w:tmpl w:val="C7AC8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687924"/>
    <w:multiLevelType w:val="multilevel"/>
    <w:tmpl w:val="52761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B751BC"/>
    <w:multiLevelType w:val="multilevel"/>
    <w:tmpl w:val="D1AEA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4265072"/>
    <w:multiLevelType w:val="multilevel"/>
    <w:tmpl w:val="DC3EE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376497"/>
    <w:multiLevelType w:val="multilevel"/>
    <w:tmpl w:val="786A0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73B17BF"/>
    <w:multiLevelType w:val="multilevel"/>
    <w:tmpl w:val="7FCAE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9BC1467"/>
    <w:multiLevelType w:val="multilevel"/>
    <w:tmpl w:val="BE401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AB73C82"/>
    <w:multiLevelType w:val="multilevel"/>
    <w:tmpl w:val="1BCCD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AC66ADD"/>
    <w:multiLevelType w:val="multilevel"/>
    <w:tmpl w:val="E4F40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B1263D3"/>
    <w:multiLevelType w:val="multilevel"/>
    <w:tmpl w:val="B6EE6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B957F03"/>
    <w:multiLevelType w:val="hybridMultilevel"/>
    <w:tmpl w:val="77625376"/>
    <w:lvl w:ilvl="0" w:tplc="B4A6F0C0">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DB625E1"/>
    <w:multiLevelType w:val="multilevel"/>
    <w:tmpl w:val="C1623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0A5280"/>
    <w:multiLevelType w:val="multilevel"/>
    <w:tmpl w:val="6D086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25573B0"/>
    <w:multiLevelType w:val="multilevel"/>
    <w:tmpl w:val="1514F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5D9549F"/>
    <w:multiLevelType w:val="multilevel"/>
    <w:tmpl w:val="1C428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6671F58"/>
    <w:multiLevelType w:val="multilevel"/>
    <w:tmpl w:val="34DEB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6921D17"/>
    <w:multiLevelType w:val="multilevel"/>
    <w:tmpl w:val="5A061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8297F54"/>
    <w:multiLevelType w:val="multilevel"/>
    <w:tmpl w:val="374EF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9866F8F"/>
    <w:multiLevelType w:val="multilevel"/>
    <w:tmpl w:val="45203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30A6AE9"/>
    <w:multiLevelType w:val="multilevel"/>
    <w:tmpl w:val="93941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7970246"/>
    <w:multiLevelType w:val="multilevel"/>
    <w:tmpl w:val="E9D67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FC67142"/>
    <w:multiLevelType w:val="multilevel"/>
    <w:tmpl w:val="6FFEE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2940C3D"/>
    <w:multiLevelType w:val="multilevel"/>
    <w:tmpl w:val="5CE070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68254D7"/>
    <w:multiLevelType w:val="multilevel"/>
    <w:tmpl w:val="F4F4E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7B01A08"/>
    <w:multiLevelType w:val="multilevel"/>
    <w:tmpl w:val="C2502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83F0468"/>
    <w:multiLevelType w:val="multilevel"/>
    <w:tmpl w:val="5C048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F3A5FF7"/>
    <w:multiLevelType w:val="multilevel"/>
    <w:tmpl w:val="B5343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F4B7105"/>
    <w:multiLevelType w:val="multilevel"/>
    <w:tmpl w:val="2A2AF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FAF637E"/>
    <w:multiLevelType w:val="multilevel"/>
    <w:tmpl w:val="2DD00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21564BA"/>
    <w:multiLevelType w:val="multilevel"/>
    <w:tmpl w:val="109C9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3387D9C"/>
    <w:multiLevelType w:val="multilevel"/>
    <w:tmpl w:val="349A4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43574E1"/>
    <w:multiLevelType w:val="multilevel"/>
    <w:tmpl w:val="5F26B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4412C94"/>
    <w:multiLevelType w:val="multilevel"/>
    <w:tmpl w:val="E4AE9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67E1DC9"/>
    <w:multiLevelType w:val="multilevel"/>
    <w:tmpl w:val="CB3EA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7E13ECD"/>
    <w:multiLevelType w:val="multilevel"/>
    <w:tmpl w:val="E2CE9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83D1C51"/>
    <w:multiLevelType w:val="multilevel"/>
    <w:tmpl w:val="FC26F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8BD47F0"/>
    <w:multiLevelType w:val="multilevel"/>
    <w:tmpl w:val="F4C0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E5E2158"/>
    <w:multiLevelType w:val="multilevel"/>
    <w:tmpl w:val="E4B46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30"/>
  </w:num>
  <w:num w:numId="3">
    <w:abstractNumId w:val="16"/>
  </w:num>
  <w:num w:numId="4">
    <w:abstractNumId w:val="7"/>
  </w:num>
  <w:num w:numId="5">
    <w:abstractNumId w:val="0"/>
  </w:num>
  <w:num w:numId="6">
    <w:abstractNumId w:val="8"/>
  </w:num>
  <w:num w:numId="7">
    <w:abstractNumId w:val="46"/>
  </w:num>
  <w:num w:numId="8">
    <w:abstractNumId w:val="49"/>
  </w:num>
  <w:num w:numId="9">
    <w:abstractNumId w:val="40"/>
  </w:num>
  <w:num w:numId="10">
    <w:abstractNumId w:val="11"/>
  </w:num>
  <w:num w:numId="11">
    <w:abstractNumId w:val="50"/>
  </w:num>
  <w:num w:numId="12">
    <w:abstractNumId w:val="14"/>
  </w:num>
  <w:num w:numId="13">
    <w:abstractNumId w:val="47"/>
  </w:num>
  <w:num w:numId="14">
    <w:abstractNumId w:val="27"/>
  </w:num>
  <w:num w:numId="15">
    <w:abstractNumId w:val="38"/>
  </w:num>
  <w:num w:numId="16">
    <w:abstractNumId w:val="17"/>
  </w:num>
  <w:num w:numId="17">
    <w:abstractNumId w:val="22"/>
  </w:num>
  <w:num w:numId="18">
    <w:abstractNumId w:val="42"/>
  </w:num>
  <w:num w:numId="19">
    <w:abstractNumId w:val="9"/>
  </w:num>
  <w:num w:numId="20">
    <w:abstractNumId w:val="19"/>
  </w:num>
  <w:num w:numId="21">
    <w:abstractNumId w:val="39"/>
  </w:num>
  <w:num w:numId="22">
    <w:abstractNumId w:val="43"/>
  </w:num>
  <w:num w:numId="23">
    <w:abstractNumId w:val="1"/>
  </w:num>
  <w:num w:numId="24">
    <w:abstractNumId w:val="34"/>
  </w:num>
  <w:num w:numId="25">
    <w:abstractNumId w:val="54"/>
  </w:num>
  <w:num w:numId="26">
    <w:abstractNumId w:val="44"/>
  </w:num>
  <w:num w:numId="27">
    <w:abstractNumId w:val="24"/>
  </w:num>
  <w:num w:numId="28">
    <w:abstractNumId w:val="20"/>
  </w:num>
  <w:num w:numId="29">
    <w:abstractNumId w:val="5"/>
  </w:num>
  <w:num w:numId="30">
    <w:abstractNumId w:val="12"/>
  </w:num>
  <w:num w:numId="31">
    <w:abstractNumId w:val="4"/>
  </w:num>
  <w:num w:numId="32">
    <w:abstractNumId w:val="2"/>
  </w:num>
  <w:num w:numId="33">
    <w:abstractNumId w:val="15"/>
  </w:num>
  <w:num w:numId="34">
    <w:abstractNumId w:val="53"/>
  </w:num>
  <w:num w:numId="35">
    <w:abstractNumId w:val="10"/>
  </w:num>
  <w:num w:numId="36">
    <w:abstractNumId w:val="56"/>
  </w:num>
  <w:num w:numId="37">
    <w:abstractNumId w:val="55"/>
  </w:num>
  <w:num w:numId="38">
    <w:abstractNumId w:val="35"/>
  </w:num>
  <w:num w:numId="39">
    <w:abstractNumId w:val="32"/>
  </w:num>
  <w:num w:numId="40">
    <w:abstractNumId w:val="52"/>
  </w:num>
  <w:num w:numId="41">
    <w:abstractNumId w:val="45"/>
  </w:num>
  <w:num w:numId="42">
    <w:abstractNumId w:val="37"/>
  </w:num>
  <w:num w:numId="43">
    <w:abstractNumId w:val="36"/>
  </w:num>
  <w:num w:numId="44">
    <w:abstractNumId w:val="23"/>
  </w:num>
  <w:num w:numId="45">
    <w:abstractNumId w:val="3"/>
  </w:num>
  <w:num w:numId="46">
    <w:abstractNumId w:val="28"/>
  </w:num>
  <w:num w:numId="47">
    <w:abstractNumId w:val="18"/>
  </w:num>
  <w:num w:numId="48">
    <w:abstractNumId w:val="21"/>
  </w:num>
  <w:num w:numId="49">
    <w:abstractNumId w:val="13"/>
  </w:num>
  <w:num w:numId="50">
    <w:abstractNumId w:val="26"/>
  </w:num>
  <w:num w:numId="51">
    <w:abstractNumId w:val="31"/>
  </w:num>
  <w:num w:numId="52">
    <w:abstractNumId w:val="48"/>
  </w:num>
  <w:num w:numId="53">
    <w:abstractNumId w:val="6"/>
  </w:num>
  <w:num w:numId="54">
    <w:abstractNumId w:val="25"/>
  </w:num>
  <w:num w:numId="55">
    <w:abstractNumId w:val="33"/>
  </w:num>
  <w:num w:numId="56">
    <w:abstractNumId w:val="41"/>
  </w:num>
  <w:num w:numId="57">
    <w:abstractNumId w:val="5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481"/>
    <w:rsid w:val="0017650E"/>
    <w:rsid w:val="00194EEF"/>
    <w:rsid w:val="001A48BC"/>
    <w:rsid w:val="001A4F16"/>
    <w:rsid w:val="001E3D0E"/>
    <w:rsid w:val="001E56C0"/>
    <w:rsid w:val="0021583F"/>
    <w:rsid w:val="002C5602"/>
    <w:rsid w:val="00356481"/>
    <w:rsid w:val="003E371F"/>
    <w:rsid w:val="004257B7"/>
    <w:rsid w:val="00444C94"/>
    <w:rsid w:val="00463E26"/>
    <w:rsid w:val="004C2D9A"/>
    <w:rsid w:val="0058699A"/>
    <w:rsid w:val="005D166C"/>
    <w:rsid w:val="00623D5E"/>
    <w:rsid w:val="00734F02"/>
    <w:rsid w:val="00781433"/>
    <w:rsid w:val="007D3EE3"/>
    <w:rsid w:val="0085295B"/>
    <w:rsid w:val="00870A28"/>
    <w:rsid w:val="008E623F"/>
    <w:rsid w:val="00963DDC"/>
    <w:rsid w:val="009C6E40"/>
    <w:rsid w:val="00A03462"/>
    <w:rsid w:val="00A308CC"/>
    <w:rsid w:val="00AB1A4B"/>
    <w:rsid w:val="00AE1B32"/>
    <w:rsid w:val="00AF5433"/>
    <w:rsid w:val="00B2321A"/>
    <w:rsid w:val="00B769D2"/>
    <w:rsid w:val="00BD18B2"/>
    <w:rsid w:val="00BF504D"/>
    <w:rsid w:val="00C26AB0"/>
    <w:rsid w:val="00C6525B"/>
    <w:rsid w:val="00CA36C7"/>
    <w:rsid w:val="00D05500"/>
    <w:rsid w:val="00D6189D"/>
    <w:rsid w:val="00D862FB"/>
    <w:rsid w:val="00D90DBA"/>
    <w:rsid w:val="00F07979"/>
    <w:rsid w:val="00F17547"/>
    <w:rsid w:val="00F70454"/>
    <w:rsid w:val="00FE690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144B7"/>
  <w15:chartTrackingRefBased/>
  <w15:docId w15:val="{17B78277-322A-004D-9DF0-B455172CD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504D"/>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D6189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90DB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356481"/>
    <w:pPr>
      <w:spacing w:before="100" w:beforeAutospacing="1" w:after="100" w:afterAutospacing="1"/>
      <w:outlineLvl w:val="2"/>
    </w:pPr>
    <w:rPr>
      <w:b/>
      <w:bCs/>
      <w:sz w:val="27"/>
      <w:szCs w:val="27"/>
    </w:rPr>
  </w:style>
  <w:style w:type="paragraph" w:styleId="4">
    <w:name w:val="heading 4"/>
    <w:basedOn w:val="a"/>
    <w:next w:val="a"/>
    <w:link w:val="40"/>
    <w:uiPriority w:val="9"/>
    <w:unhideWhenUsed/>
    <w:qFormat/>
    <w:rsid w:val="00D90DBA"/>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1A48BC"/>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1A48BC"/>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6481"/>
    <w:pPr>
      <w:spacing w:after="160" w:line="259" w:lineRule="auto"/>
      <w:ind w:left="720"/>
      <w:contextualSpacing/>
    </w:pPr>
    <w:rPr>
      <w:sz w:val="22"/>
      <w:szCs w:val="22"/>
    </w:rPr>
  </w:style>
  <w:style w:type="character" w:customStyle="1" w:styleId="30">
    <w:name w:val="Заголовок 3 Знак"/>
    <w:basedOn w:val="a0"/>
    <w:link w:val="3"/>
    <w:uiPriority w:val="9"/>
    <w:rsid w:val="00356481"/>
    <w:rPr>
      <w:rFonts w:ascii="Times New Roman" w:eastAsia="Times New Roman" w:hAnsi="Times New Roman" w:cs="Times New Roman"/>
      <w:b/>
      <w:bCs/>
      <w:kern w:val="0"/>
      <w:sz w:val="27"/>
      <w:szCs w:val="27"/>
      <w:lang w:eastAsia="ru-RU"/>
      <w14:ligatures w14:val="none"/>
    </w:rPr>
  </w:style>
  <w:style w:type="paragraph" w:styleId="a4">
    <w:name w:val="Normal (Web)"/>
    <w:basedOn w:val="a"/>
    <w:uiPriority w:val="99"/>
    <w:unhideWhenUsed/>
    <w:rsid w:val="00356481"/>
    <w:pPr>
      <w:spacing w:before="100" w:beforeAutospacing="1" w:after="100" w:afterAutospacing="1"/>
    </w:pPr>
  </w:style>
  <w:style w:type="character" w:styleId="a5">
    <w:name w:val="Strong"/>
    <w:basedOn w:val="a0"/>
    <w:uiPriority w:val="22"/>
    <w:qFormat/>
    <w:rsid w:val="00356481"/>
    <w:rPr>
      <w:b/>
      <w:bCs/>
    </w:rPr>
  </w:style>
  <w:style w:type="character" w:customStyle="1" w:styleId="fadeinpfttw8">
    <w:name w:val="_fadein_pfttw_8"/>
    <w:basedOn w:val="a0"/>
    <w:rsid w:val="002C5602"/>
  </w:style>
  <w:style w:type="character" w:customStyle="1" w:styleId="40">
    <w:name w:val="Заголовок 4 Знак"/>
    <w:basedOn w:val="a0"/>
    <w:link w:val="4"/>
    <w:uiPriority w:val="9"/>
    <w:rsid w:val="00D90DBA"/>
    <w:rPr>
      <w:rFonts w:asciiTheme="majorHAnsi" w:eastAsiaTheme="majorEastAsia" w:hAnsiTheme="majorHAnsi" w:cstheme="majorBidi"/>
      <w:i/>
      <w:iCs/>
      <w:color w:val="2F5496" w:themeColor="accent1" w:themeShade="BF"/>
      <w:lang w:val="uk-UA"/>
    </w:rPr>
  </w:style>
  <w:style w:type="character" w:customStyle="1" w:styleId="20">
    <w:name w:val="Заголовок 2 Знак"/>
    <w:basedOn w:val="a0"/>
    <w:link w:val="2"/>
    <w:uiPriority w:val="9"/>
    <w:semiHidden/>
    <w:rsid w:val="00D90DBA"/>
    <w:rPr>
      <w:rFonts w:asciiTheme="majorHAnsi" w:eastAsiaTheme="majorEastAsia" w:hAnsiTheme="majorHAnsi" w:cstheme="majorBidi"/>
      <w:color w:val="2F5496" w:themeColor="accent1" w:themeShade="BF"/>
      <w:sz w:val="26"/>
      <w:szCs w:val="26"/>
      <w:lang w:val="uk-UA"/>
    </w:rPr>
  </w:style>
  <w:style w:type="character" w:styleId="a6">
    <w:name w:val="Emphasis"/>
    <w:basedOn w:val="a0"/>
    <w:uiPriority w:val="20"/>
    <w:qFormat/>
    <w:rsid w:val="00D90DBA"/>
    <w:rPr>
      <w:i/>
      <w:iCs/>
    </w:rPr>
  </w:style>
  <w:style w:type="character" w:customStyle="1" w:styleId="overflow-hidden">
    <w:name w:val="overflow-hidden"/>
    <w:basedOn w:val="a0"/>
    <w:rsid w:val="00FE6908"/>
  </w:style>
  <w:style w:type="paragraph" w:styleId="z-">
    <w:name w:val="HTML Top of Form"/>
    <w:basedOn w:val="a"/>
    <w:next w:val="a"/>
    <w:link w:val="z-0"/>
    <w:hidden/>
    <w:uiPriority w:val="99"/>
    <w:semiHidden/>
    <w:unhideWhenUsed/>
    <w:rsid w:val="00FE6908"/>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FE6908"/>
    <w:rPr>
      <w:rFonts w:ascii="Arial" w:eastAsia="Times New Roman" w:hAnsi="Arial" w:cs="Arial"/>
      <w:vanish/>
      <w:kern w:val="0"/>
      <w:sz w:val="16"/>
      <w:szCs w:val="16"/>
      <w:lang w:eastAsia="ru-RU"/>
      <w14:ligatures w14:val="none"/>
    </w:rPr>
  </w:style>
  <w:style w:type="paragraph" w:styleId="z-1">
    <w:name w:val="HTML Bottom of Form"/>
    <w:basedOn w:val="a"/>
    <w:next w:val="a"/>
    <w:link w:val="z-2"/>
    <w:hidden/>
    <w:uiPriority w:val="99"/>
    <w:semiHidden/>
    <w:unhideWhenUsed/>
    <w:rsid w:val="00FE6908"/>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FE6908"/>
    <w:rPr>
      <w:rFonts w:ascii="Arial" w:eastAsia="Times New Roman" w:hAnsi="Arial" w:cs="Arial"/>
      <w:vanish/>
      <w:kern w:val="0"/>
      <w:sz w:val="16"/>
      <w:szCs w:val="16"/>
      <w:lang w:eastAsia="ru-RU"/>
      <w14:ligatures w14:val="none"/>
    </w:rPr>
  </w:style>
  <w:style w:type="character" w:customStyle="1" w:styleId="50">
    <w:name w:val="Заголовок 5 Знак"/>
    <w:basedOn w:val="a0"/>
    <w:link w:val="5"/>
    <w:uiPriority w:val="9"/>
    <w:semiHidden/>
    <w:rsid w:val="001A48BC"/>
    <w:rPr>
      <w:rFonts w:asciiTheme="majorHAnsi" w:eastAsiaTheme="majorEastAsia" w:hAnsiTheme="majorHAnsi" w:cstheme="majorBidi"/>
      <w:color w:val="2F5496" w:themeColor="accent1" w:themeShade="BF"/>
      <w:kern w:val="0"/>
      <w:lang w:eastAsia="ru-RU"/>
      <w14:ligatures w14:val="none"/>
    </w:rPr>
  </w:style>
  <w:style w:type="character" w:customStyle="1" w:styleId="60">
    <w:name w:val="Заголовок 6 Знак"/>
    <w:basedOn w:val="a0"/>
    <w:link w:val="6"/>
    <w:uiPriority w:val="9"/>
    <w:semiHidden/>
    <w:rsid w:val="001A48BC"/>
    <w:rPr>
      <w:rFonts w:asciiTheme="majorHAnsi" w:eastAsiaTheme="majorEastAsia" w:hAnsiTheme="majorHAnsi" w:cstheme="majorBidi"/>
      <w:color w:val="1F3763" w:themeColor="accent1" w:themeShade="7F"/>
      <w:kern w:val="0"/>
      <w:lang w:eastAsia="ru-RU"/>
      <w14:ligatures w14:val="none"/>
    </w:rPr>
  </w:style>
  <w:style w:type="character" w:customStyle="1" w:styleId="10">
    <w:name w:val="Заголовок 1 Знак"/>
    <w:basedOn w:val="a0"/>
    <w:link w:val="1"/>
    <w:uiPriority w:val="9"/>
    <w:rsid w:val="00D6189D"/>
    <w:rPr>
      <w:rFonts w:asciiTheme="majorHAnsi" w:eastAsiaTheme="majorEastAsia" w:hAnsiTheme="majorHAnsi" w:cstheme="majorBidi"/>
      <w:color w:val="2F5496" w:themeColor="accent1" w:themeShade="BF"/>
      <w:kern w:val="0"/>
      <w:sz w:val="32"/>
      <w:szCs w:val="32"/>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464091">
      <w:bodyDiv w:val="1"/>
      <w:marLeft w:val="0"/>
      <w:marRight w:val="0"/>
      <w:marTop w:val="0"/>
      <w:marBottom w:val="0"/>
      <w:divBdr>
        <w:top w:val="none" w:sz="0" w:space="0" w:color="auto"/>
        <w:left w:val="none" w:sz="0" w:space="0" w:color="auto"/>
        <w:bottom w:val="none" w:sz="0" w:space="0" w:color="auto"/>
        <w:right w:val="none" w:sz="0" w:space="0" w:color="auto"/>
      </w:divBdr>
    </w:div>
    <w:div w:id="240263885">
      <w:bodyDiv w:val="1"/>
      <w:marLeft w:val="0"/>
      <w:marRight w:val="0"/>
      <w:marTop w:val="0"/>
      <w:marBottom w:val="0"/>
      <w:divBdr>
        <w:top w:val="none" w:sz="0" w:space="0" w:color="auto"/>
        <w:left w:val="none" w:sz="0" w:space="0" w:color="auto"/>
        <w:bottom w:val="none" w:sz="0" w:space="0" w:color="auto"/>
        <w:right w:val="none" w:sz="0" w:space="0" w:color="auto"/>
      </w:divBdr>
    </w:div>
    <w:div w:id="337536668">
      <w:bodyDiv w:val="1"/>
      <w:marLeft w:val="0"/>
      <w:marRight w:val="0"/>
      <w:marTop w:val="0"/>
      <w:marBottom w:val="0"/>
      <w:divBdr>
        <w:top w:val="none" w:sz="0" w:space="0" w:color="auto"/>
        <w:left w:val="none" w:sz="0" w:space="0" w:color="auto"/>
        <w:bottom w:val="none" w:sz="0" w:space="0" w:color="auto"/>
        <w:right w:val="none" w:sz="0" w:space="0" w:color="auto"/>
      </w:divBdr>
    </w:div>
    <w:div w:id="372729539">
      <w:bodyDiv w:val="1"/>
      <w:marLeft w:val="0"/>
      <w:marRight w:val="0"/>
      <w:marTop w:val="0"/>
      <w:marBottom w:val="0"/>
      <w:divBdr>
        <w:top w:val="none" w:sz="0" w:space="0" w:color="auto"/>
        <w:left w:val="none" w:sz="0" w:space="0" w:color="auto"/>
        <w:bottom w:val="none" w:sz="0" w:space="0" w:color="auto"/>
        <w:right w:val="none" w:sz="0" w:space="0" w:color="auto"/>
      </w:divBdr>
      <w:divsChild>
        <w:div w:id="1666664216">
          <w:marLeft w:val="0"/>
          <w:marRight w:val="0"/>
          <w:marTop w:val="0"/>
          <w:marBottom w:val="0"/>
          <w:divBdr>
            <w:top w:val="none" w:sz="0" w:space="0" w:color="auto"/>
            <w:left w:val="none" w:sz="0" w:space="0" w:color="auto"/>
            <w:bottom w:val="none" w:sz="0" w:space="0" w:color="auto"/>
            <w:right w:val="none" w:sz="0" w:space="0" w:color="auto"/>
          </w:divBdr>
          <w:divsChild>
            <w:div w:id="213012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907411">
      <w:bodyDiv w:val="1"/>
      <w:marLeft w:val="0"/>
      <w:marRight w:val="0"/>
      <w:marTop w:val="0"/>
      <w:marBottom w:val="0"/>
      <w:divBdr>
        <w:top w:val="none" w:sz="0" w:space="0" w:color="auto"/>
        <w:left w:val="none" w:sz="0" w:space="0" w:color="auto"/>
        <w:bottom w:val="none" w:sz="0" w:space="0" w:color="auto"/>
        <w:right w:val="none" w:sz="0" w:space="0" w:color="auto"/>
      </w:divBdr>
    </w:div>
    <w:div w:id="492337610">
      <w:bodyDiv w:val="1"/>
      <w:marLeft w:val="0"/>
      <w:marRight w:val="0"/>
      <w:marTop w:val="0"/>
      <w:marBottom w:val="0"/>
      <w:divBdr>
        <w:top w:val="none" w:sz="0" w:space="0" w:color="auto"/>
        <w:left w:val="none" w:sz="0" w:space="0" w:color="auto"/>
        <w:bottom w:val="none" w:sz="0" w:space="0" w:color="auto"/>
        <w:right w:val="none" w:sz="0" w:space="0" w:color="auto"/>
      </w:divBdr>
    </w:div>
    <w:div w:id="515117982">
      <w:bodyDiv w:val="1"/>
      <w:marLeft w:val="0"/>
      <w:marRight w:val="0"/>
      <w:marTop w:val="0"/>
      <w:marBottom w:val="0"/>
      <w:divBdr>
        <w:top w:val="none" w:sz="0" w:space="0" w:color="auto"/>
        <w:left w:val="none" w:sz="0" w:space="0" w:color="auto"/>
        <w:bottom w:val="none" w:sz="0" w:space="0" w:color="auto"/>
        <w:right w:val="none" w:sz="0" w:space="0" w:color="auto"/>
      </w:divBdr>
      <w:divsChild>
        <w:div w:id="52390483">
          <w:marLeft w:val="0"/>
          <w:marRight w:val="0"/>
          <w:marTop w:val="0"/>
          <w:marBottom w:val="0"/>
          <w:divBdr>
            <w:top w:val="none" w:sz="0" w:space="0" w:color="auto"/>
            <w:left w:val="none" w:sz="0" w:space="0" w:color="auto"/>
            <w:bottom w:val="none" w:sz="0" w:space="0" w:color="auto"/>
            <w:right w:val="none" w:sz="0" w:space="0" w:color="auto"/>
          </w:divBdr>
          <w:divsChild>
            <w:div w:id="11837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231823">
      <w:bodyDiv w:val="1"/>
      <w:marLeft w:val="0"/>
      <w:marRight w:val="0"/>
      <w:marTop w:val="0"/>
      <w:marBottom w:val="0"/>
      <w:divBdr>
        <w:top w:val="none" w:sz="0" w:space="0" w:color="auto"/>
        <w:left w:val="none" w:sz="0" w:space="0" w:color="auto"/>
        <w:bottom w:val="none" w:sz="0" w:space="0" w:color="auto"/>
        <w:right w:val="none" w:sz="0" w:space="0" w:color="auto"/>
      </w:divBdr>
    </w:div>
    <w:div w:id="747730424">
      <w:bodyDiv w:val="1"/>
      <w:marLeft w:val="0"/>
      <w:marRight w:val="0"/>
      <w:marTop w:val="0"/>
      <w:marBottom w:val="0"/>
      <w:divBdr>
        <w:top w:val="none" w:sz="0" w:space="0" w:color="auto"/>
        <w:left w:val="none" w:sz="0" w:space="0" w:color="auto"/>
        <w:bottom w:val="none" w:sz="0" w:space="0" w:color="auto"/>
        <w:right w:val="none" w:sz="0" w:space="0" w:color="auto"/>
      </w:divBdr>
    </w:div>
    <w:div w:id="781072559">
      <w:bodyDiv w:val="1"/>
      <w:marLeft w:val="0"/>
      <w:marRight w:val="0"/>
      <w:marTop w:val="0"/>
      <w:marBottom w:val="0"/>
      <w:divBdr>
        <w:top w:val="none" w:sz="0" w:space="0" w:color="auto"/>
        <w:left w:val="none" w:sz="0" w:space="0" w:color="auto"/>
        <w:bottom w:val="none" w:sz="0" w:space="0" w:color="auto"/>
        <w:right w:val="none" w:sz="0" w:space="0" w:color="auto"/>
      </w:divBdr>
    </w:div>
    <w:div w:id="815415449">
      <w:bodyDiv w:val="1"/>
      <w:marLeft w:val="0"/>
      <w:marRight w:val="0"/>
      <w:marTop w:val="0"/>
      <w:marBottom w:val="0"/>
      <w:divBdr>
        <w:top w:val="none" w:sz="0" w:space="0" w:color="auto"/>
        <w:left w:val="none" w:sz="0" w:space="0" w:color="auto"/>
        <w:bottom w:val="none" w:sz="0" w:space="0" w:color="auto"/>
        <w:right w:val="none" w:sz="0" w:space="0" w:color="auto"/>
      </w:divBdr>
    </w:div>
    <w:div w:id="1068847913">
      <w:bodyDiv w:val="1"/>
      <w:marLeft w:val="0"/>
      <w:marRight w:val="0"/>
      <w:marTop w:val="0"/>
      <w:marBottom w:val="0"/>
      <w:divBdr>
        <w:top w:val="none" w:sz="0" w:space="0" w:color="auto"/>
        <w:left w:val="none" w:sz="0" w:space="0" w:color="auto"/>
        <w:bottom w:val="none" w:sz="0" w:space="0" w:color="auto"/>
        <w:right w:val="none" w:sz="0" w:space="0" w:color="auto"/>
      </w:divBdr>
    </w:div>
    <w:div w:id="1111894384">
      <w:bodyDiv w:val="1"/>
      <w:marLeft w:val="0"/>
      <w:marRight w:val="0"/>
      <w:marTop w:val="0"/>
      <w:marBottom w:val="0"/>
      <w:divBdr>
        <w:top w:val="none" w:sz="0" w:space="0" w:color="auto"/>
        <w:left w:val="none" w:sz="0" w:space="0" w:color="auto"/>
        <w:bottom w:val="none" w:sz="0" w:space="0" w:color="auto"/>
        <w:right w:val="none" w:sz="0" w:space="0" w:color="auto"/>
      </w:divBdr>
    </w:div>
    <w:div w:id="1146118385">
      <w:bodyDiv w:val="1"/>
      <w:marLeft w:val="0"/>
      <w:marRight w:val="0"/>
      <w:marTop w:val="0"/>
      <w:marBottom w:val="0"/>
      <w:divBdr>
        <w:top w:val="none" w:sz="0" w:space="0" w:color="auto"/>
        <w:left w:val="none" w:sz="0" w:space="0" w:color="auto"/>
        <w:bottom w:val="none" w:sz="0" w:space="0" w:color="auto"/>
        <w:right w:val="none" w:sz="0" w:space="0" w:color="auto"/>
      </w:divBdr>
      <w:divsChild>
        <w:div w:id="942153019">
          <w:blockQuote w:val="1"/>
          <w:marLeft w:val="720"/>
          <w:marRight w:val="720"/>
          <w:marTop w:val="100"/>
          <w:marBottom w:val="100"/>
          <w:divBdr>
            <w:top w:val="none" w:sz="0" w:space="0" w:color="auto"/>
            <w:left w:val="none" w:sz="0" w:space="0" w:color="auto"/>
            <w:bottom w:val="none" w:sz="0" w:space="0" w:color="auto"/>
            <w:right w:val="none" w:sz="0" w:space="0" w:color="auto"/>
          </w:divBdr>
        </w:div>
        <w:div w:id="888498979">
          <w:marLeft w:val="0"/>
          <w:marRight w:val="0"/>
          <w:marTop w:val="0"/>
          <w:marBottom w:val="0"/>
          <w:divBdr>
            <w:top w:val="none" w:sz="0" w:space="0" w:color="auto"/>
            <w:left w:val="none" w:sz="0" w:space="0" w:color="auto"/>
            <w:bottom w:val="none" w:sz="0" w:space="0" w:color="auto"/>
            <w:right w:val="none" w:sz="0" w:space="0" w:color="auto"/>
          </w:divBdr>
          <w:divsChild>
            <w:div w:id="49541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344719">
      <w:bodyDiv w:val="1"/>
      <w:marLeft w:val="0"/>
      <w:marRight w:val="0"/>
      <w:marTop w:val="0"/>
      <w:marBottom w:val="0"/>
      <w:divBdr>
        <w:top w:val="none" w:sz="0" w:space="0" w:color="auto"/>
        <w:left w:val="none" w:sz="0" w:space="0" w:color="auto"/>
        <w:bottom w:val="none" w:sz="0" w:space="0" w:color="auto"/>
        <w:right w:val="none" w:sz="0" w:space="0" w:color="auto"/>
      </w:divBdr>
      <w:divsChild>
        <w:div w:id="1093815690">
          <w:marLeft w:val="0"/>
          <w:marRight w:val="0"/>
          <w:marTop w:val="0"/>
          <w:marBottom w:val="0"/>
          <w:divBdr>
            <w:top w:val="none" w:sz="0" w:space="0" w:color="auto"/>
            <w:left w:val="none" w:sz="0" w:space="0" w:color="auto"/>
            <w:bottom w:val="none" w:sz="0" w:space="0" w:color="auto"/>
            <w:right w:val="none" w:sz="0" w:space="0" w:color="auto"/>
          </w:divBdr>
          <w:divsChild>
            <w:div w:id="1179349595">
              <w:marLeft w:val="0"/>
              <w:marRight w:val="0"/>
              <w:marTop w:val="0"/>
              <w:marBottom w:val="0"/>
              <w:divBdr>
                <w:top w:val="none" w:sz="0" w:space="0" w:color="auto"/>
                <w:left w:val="none" w:sz="0" w:space="0" w:color="auto"/>
                <w:bottom w:val="none" w:sz="0" w:space="0" w:color="auto"/>
                <w:right w:val="none" w:sz="0" w:space="0" w:color="auto"/>
              </w:divBdr>
              <w:divsChild>
                <w:div w:id="1854030861">
                  <w:marLeft w:val="0"/>
                  <w:marRight w:val="0"/>
                  <w:marTop w:val="0"/>
                  <w:marBottom w:val="0"/>
                  <w:divBdr>
                    <w:top w:val="none" w:sz="0" w:space="0" w:color="auto"/>
                    <w:left w:val="none" w:sz="0" w:space="0" w:color="auto"/>
                    <w:bottom w:val="none" w:sz="0" w:space="0" w:color="auto"/>
                    <w:right w:val="none" w:sz="0" w:space="0" w:color="auto"/>
                  </w:divBdr>
                  <w:divsChild>
                    <w:div w:id="564489850">
                      <w:marLeft w:val="0"/>
                      <w:marRight w:val="0"/>
                      <w:marTop w:val="0"/>
                      <w:marBottom w:val="0"/>
                      <w:divBdr>
                        <w:top w:val="none" w:sz="0" w:space="0" w:color="auto"/>
                        <w:left w:val="none" w:sz="0" w:space="0" w:color="auto"/>
                        <w:bottom w:val="none" w:sz="0" w:space="0" w:color="auto"/>
                        <w:right w:val="none" w:sz="0" w:space="0" w:color="auto"/>
                      </w:divBdr>
                      <w:divsChild>
                        <w:div w:id="1296721475">
                          <w:marLeft w:val="0"/>
                          <w:marRight w:val="0"/>
                          <w:marTop w:val="0"/>
                          <w:marBottom w:val="0"/>
                          <w:divBdr>
                            <w:top w:val="none" w:sz="0" w:space="0" w:color="auto"/>
                            <w:left w:val="none" w:sz="0" w:space="0" w:color="auto"/>
                            <w:bottom w:val="none" w:sz="0" w:space="0" w:color="auto"/>
                            <w:right w:val="none" w:sz="0" w:space="0" w:color="auto"/>
                          </w:divBdr>
                          <w:divsChild>
                            <w:div w:id="130095364">
                              <w:marLeft w:val="0"/>
                              <w:marRight w:val="0"/>
                              <w:marTop w:val="0"/>
                              <w:marBottom w:val="0"/>
                              <w:divBdr>
                                <w:top w:val="none" w:sz="0" w:space="0" w:color="auto"/>
                                <w:left w:val="none" w:sz="0" w:space="0" w:color="auto"/>
                                <w:bottom w:val="none" w:sz="0" w:space="0" w:color="auto"/>
                                <w:right w:val="none" w:sz="0" w:space="0" w:color="auto"/>
                              </w:divBdr>
                              <w:divsChild>
                                <w:div w:id="290595953">
                                  <w:marLeft w:val="0"/>
                                  <w:marRight w:val="0"/>
                                  <w:marTop w:val="0"/>
                                  <w:marBottom w:val="0"/>
                                  <w:divBdr>
                                    <w:top w:val="none" w:sz="0" w:space="0" w:color="auto"/>
                                    <w:left w:val="none" w:sz="0" w:space="0" w:color="auto"/>
                                    <w:bottom w:val="none" w:sz="0" w:space="0" w:color="auto"/>
                                    <w:right w:val="none" w:sz="0" w:space="0" w:color="auto"/>
                                  </w:divBdr>
                                  <w:divsChild>
                                    <w:div w:id="1233661805">
                                      <w:marLeft w:val="0"/>
                                      <w:marRight w:val="0"/>
                                      <w:marTop w:val="0"/>
                                      <w:marBottom w:val="0"/>
                                      <w:divBdr>
                                        <w:top w:val="none" w:sz="0" w:space="0" w:color="auto"/>
                                        <w:left w:val="none" w:sz="0" w:space="0" w:color="auto"/>
                                        <w:bottom w:val="none" w:sz="0" w:space="0" w:color="auto"/>
                                        <w:right w:val="none" w:sz="0" w:space="0" w:color="auto"/>
                                      </w:divBdr>
                                      <w:divsChild>
                                        <w:div w:id="887257871">
                                          <w:marLeft w:val="0"/>
                                          <w:marRight w:val="0"/>
                                          <w:marTop w:val="0"/>
                                          <w:marBottom w:val="0"/>
                                          <w:divBdr>
                                            <w:top w:val="none" w:sz="0" w:space="0" w:color="auto"/>
                                            <w:left w:val="none" w:sz="0" w:space="0" w:color="auto"/>
                                            <w:bottom w:val="none" w:sz="0" w:space="0" w:color="auto"/>
                                            <w:right w:val="none" w:sz="0" w:space="0" w:color="auto"/>
                                          </w:divBdr>
                                          <w:divsChild>
                                            <w:div w:id="175651966">
                                              <w:marLeft w:val="0"/>
                                              <w:marRight w:val="0"/>
                                              <w:marTop w:val="0"/>
                                              <w:marBottom w:val="0"/>
                                              <w:divBdr>
                                                <w:top w:val="none" w:sz="0" w:space="0" w:color="auto"/>
                                                <w:left w:val="none" w:sz="0" w:space="0" w:color="auto"/>
                                                <w:bottom w:val="none" w:sz="0" w:space="0" w:color="auto"/>
                                                <w:right w:val="none" w:sz="0" w:space="0" w:color="auto"/>
                                              </w:divBdr>
                                              <w:divsChild>
                                                <w:div w:id="354965807">
                                                  <w:marLeft w:val="0"/>
                                                  <w:marRight w:val="0"/>
                                                  <w:marTop w:val="0"/>
                                                  <w:marBottom w:val="0"/>
                                                  <w:divBdr>
                                                    <w:top w:val="none" w:sz="0" w:space="0" w:color="auto"/>
                                                    <w:left w:val="none" w:sz="0" w:space="0" w:color="auto"/>
                                                    <w:bottom w:val="none" w:sz="0" w:space="0" w:color="auto"/>
                                                    <w:right w:val="none" w:sz="0" w:space="0" w:color="auto"/>
                                                  </w:divBdr>
                                                  <w:divsChild>
                                                    <w:div w:id="100350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690597">
                                          <w:marLeft w:val="0"/>
                                          <w:marRight w:val="0"/>
                                          <w:marTop w:val="0"/>
                                          <w:marBottom w:val="0"/>
                                          <w:divBdr>
                                            <w:top w:val="none" w:sz="0" w:space="0" w:color="auto"/>
                                            <w:left w:val="none" w:sz="0" w:space="0" w:color="auto"/>
                                            <w:bottom w:val="none" w:sz="0" w:space="0" w:color="auto"/>
                                            <w:right w:val="none" w:sz="0" w:space="0" w:color="auto"/>
                                          </w:divBdr>
                                          <w:divsChild>
                                            <w:div w:id="824473005">
                                              <w:marLeft w:val="0"/>
                                              <w:marRight w:val="0"/>
                                              <w:marTop w:val="0"/>
                                              <w:marBottom w:val="0"/>
                                              <w:divBdr>
                                                <w:top w:val="none" w:sz="0" w:space="0" w:color="auto"/>
                                                <w:left w:val="none" w:sz="0" w:space="0" w:color="auto"/>
                                                <w:bottom w:val="none" w:sz="0" w:space="0" w:color="auto"/>
                                                <w:right w:val="none" w:sz="0" w:space="0" w:color="auto"/>
                                              </w:divBdr>
                                              <w:divsChild>
                                                <w:div w:id="14228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4345502">
                          <w:marLeft w:val="0"/>
                          <w:marRight w:val="0"/>
                          <w:marTop w:val="0"/>
                          <w:marBottom w:val="0"/>
                          <w:divBdr>
                            <w:top w:val="none" w:sz="0" w:space="0" w:color="auto"/>
                            <w:left w:val="none" w:sz="0" w:space="0" w:color="auto"/>
                            <w:bottom w:val="none" w:sz="0" w:space="0" w:color="auto"/>
                            <w:right w:val="none" w:sz="0" w:space="0" w:color="auto"/>
                          </w:divBdr>
                          <w:divsChild>
                            <w:div w:id="1312179551">
                              <w:marLeft w:val="0"/>
                              <w:marRight w:val="0"/>
                              <w:marTop w:val="0"/>
                              <w:marBottom w:val="0"/>
                              <w:divBdr>
                                <w:top w:val="none" w:sz="0" w:space="0" w:color="auto"/>
                                <w:left w:val="none" w:sz="0" w:space="0" w:color="auto"/>
                                <w:bottom w:val="none" w:sz="0" w:space="0" w:color="auto"/>
                                <w:right w:val="none" w:sz="0" w:space="0" w:color="auto"/>
                              </w:divBdr>
                              <w:divsChild>
                                <w:div w:id="130514341">
                                  <w:marLeft w:val="0"/>
                                  <w:marRight w:val="0"/>
                                  <w:marTop w:val="0"/>
                                  <w:marBottom w:val="0"/>
                                  <w:divBdr>
                                    <w:top w:val="none" w:sz="0" w:space="0" w:color="auto"/>
                                    <w:left w:val="none" w:sz="0" w:space="0" w:color="auto"/>
                                    <w:bottom w:val="none" w:sz="0" w:space="0" w:color="auto"/>
                                    <w:right w:val="none" w:sz="0" w:space="0" w:color="auto"/>
                                  </w:divBdr>
                                  <w:divsChild>
                                    <w:div w:id="1916233635">
                                      <w:marLeft w:val="0"/>
                                      <w:marRight w:val="0"/>
                                      <w:marTop w:val="0"/>
                                      <w:marBottom w:val="0"/>
                                      <w:divBdr>
                                        <w:top w:val="none" w:sz="0" w:space="0" w:color="auto"/>
                                        <w:left w:val="none" w:sz="0" w:space="0" w:color="auto"/>
                                        <w:bottom w:val="none" w:sz="0" w:space="0" w:color="auto"/>
                                        <w:right w:val="none" w:sz="0" w:space="0" w:color="auto"/>
                                      </w:divBdr>
                                      <w:divsChild>
                                        <w:div w:id="736784161">
                                          <w:marLeft w:val="0"/>
                                          <w:marRight w:val="0"/>
                                          <w:marTop w:val="0"/>
                                          <w:marBottom w:val="0"/>
                                          <w:divBdr>
                                            <w:top w:val="none" w:sz="0" w:space="0" w:color="auto"/>
                                            <w:left w:val="none" w:sz="0" w:space="0" w:color="auto"/>
                                            <w:bottom w:val="none" w:sz="0" w:space="0" w:color="auto"/>
                                            <w:right w:val="none" w:sz="0" w:space="0" w:color="auto"/>
                                          </w:divBdr>
                                          <w:divsChild>
                                            <w:div w:id="759763093">
                                              <w:marLeft w:val="0"/>
                                              <w:marRight w:val="0"/>
                                              <w:marTop w:val="0"/>
                                              <w:marBottom w:val="0"/>
                                              <w:divBdr>
                                                <w:top w:val="none" w:sz="0" w:space="0" w:color="auto"/>
                                                <w:left w:val="none" w:sz="0" w:space="0" w:color="auto"/>
                                                <w:bottom w:val="none" w:sz="0" w:space="0" w:color="auto"/>
                                                <w:right w:val="none" w:sz="0" w:space="0" w:color="auto"/>
                                              </w:divBdr>
                                              <w:divsChild>
                                                <w:div w:id="672495622">
                                                  <w:marLeft w:val="0"/>
                                                  <w:marRight w:val="0"/>
                                                  <w:marTop w:val="0"/>
                                                  <w:marBottom w:val="0"/>
                                                  <w:divBdr>
                                                    <w:top w:val="none" w:sz="0" w:space="0" w:color="auto"/>
                                                    <w:left w:val="none" w:sz="0" w:space="0" w:color="auto"/>
                                                    <w:bottom w:val="none" w:sz="0" w:space="0" w:color="auto"/>
                                                    <w:right w:val="none" w:sz="0" w:space="0" w:color="auto"/>
                                                  </w:divBdr>
                                                  <w:divsChild>
                                                    <w:div w:id="885220400">
                                                      <w:marLeft w:val="0"/>
                                                      <w:marRight w:val="0"/>
                                                      <w:marTop w:val="0"/>
                                                      <w:marBottom w:val="0"/>
                                                      <w:divBdr>
                                                        <w:top w:val="none" w:sz="0" w:space="0" w:color="auto"/>
                                                        <w:left w:val="none" w:sz="0" w:space="0" w:color="auto"/>
                                                        <w:bottom w:val="none" w:sz="0" w:space="0" w:color="auto"/>
                                                        <w:right w:val="none" w:sz="0" w:space="0" w:color="auto"/>
                                                      </w:divBdr>
                                                      <w:divsChild>
                                                        <w:div w:id="123485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870079">
                          <w:marLeft w:val="0"/>
                          <w:marRight w:val="0"/>
                          <w:marTop w:val="0"/>
                          <w:marBottom w:val="0"/>
                          <w:divBdr>
                            <w:top w:val="none" w:sz="0" w:space="0" w:color="auto"/>
                            <w:left w:val="none" w:sz="0" w:space="0" w:color="auto"/>
                            <w:bottom w:val="none" w:sz="0" w:space="0" w:color="auto"/>
                            <w:right w:val="none" w:sz="0" w:space="0" w:color="auto"/>
                          </w:divBdr>
                          <w:divsChild>
                            <w:div w:id="520095763">
                              <w:marLeft w:val="0"/>
                              <w:marRight w:val="0"/>
                              <w:marTop w:val="0"/>
                              <w:marBottom w:val="0"/>
                              <w:divBdr>
                                <w:top w:val="none" w:sz="0" w:space="0" w:color="auto"/>
                                <w:left w:val="none" w:sz="0" w:space="0" w:color="auto"/>
                                <w:bottom w:val="none" w:sz="0" w:space="0" w:color="auto"/>
                                <w:right w:val="none" w:sz="0" w:space="0" w:color="auto"/>
                              </w:divBdr>
                              <w:divsChild>
                                <w:div w:id="1833640703">
                                  <w:marLeft w:val="0"/>
                                  <w:marRight w:val="0"/>
                                  <w:marTop w:val="0"/>
                                  <w:marBottom w:val="0"/>
                                  <w:divBdr>
                                    <w:top w:val="none" w:sz="0" w:space="0" w:color="auto"/>
                                    <w:left w:val="none" w:sz="0" w:space="0" w:color="auto"/>
                                    <w:bottom w:val="none" w:sz="0" w:space="0" w:color="auto"/>
                                    <w:right w:val="none" w:sz="0" w:space="0" w:color="auto"/>
                                  </w:divBdr>
                                  <w:divsChild>
                                    <w:div w:id="640812212">
                                      <w:marLeft w:val="0"/>
                                      <w:marRight w:val="0"/>
                                      <w:marTop w:val="0"/>
                                      <w:marBottom w:val="0"/>
                                      <w:divBdr>
                                        <w:top w:val="none" w:sz="0" w:space="0" w:color="auto"/>
                                        <w:left w:val="none" w:sz="0" w:space="0" w:color="auto"/>
                                        <w:bottom w:val="none" w:sz="0" w:space="0" w:color="auto"/>
                                        <w:right w:val="none" w:sz="0" w:space="0" w:color="auto"/>
                                      </w:divBdr>
                                      <w:divsChild>
                                        <w:div w:id="1797018729">
                                          <w:marLeft w:val="0"/>
                                          <w:marRight w:val="0"/>
                                          <w:marTop w:val="0"/>
                                          <w:marBottom w:val="0"/>
                                          <w:divBdr>
                                            <w:top w:val="none" w:sz="0" w:space="0" w:color="auto"/>
                                            <w:left w:val="none" w:sz="0" w:space="0" w:color="auto"/>
                                            <w:bottom w:val="none" w:sz="0" w:space="0" w:color="auto"/>
                                            <w:right w:val="none" w:sz="0" w:space="0" w:color="auto"/>
                                          </w:divBdr>
                                          <w:divsChild>
                                            <w:div w:id="1364137104">
                                              <w:marLeft w:val="0"/>
                                              <w:marRight w:val="0"/>
                                              <w:marTop w:val="0"/>
                                              <w:marBottom w:val="0"/>
                                              <w:divBdr>
                                                <w:top w:val="none" w:sz="0" w:space="0" w:color="auto"/>
                                                <w:left w:val="none" w:sz="0" w:space="0" w:color="auto"/>
                                                <w:bottom w:val="none" w:sz="0" w:space="0" w:color="auto"/>
                                                <w:right w:val="none" w:sz="0" w:space="0" w:color="auto"/>
                                              </w:divBdr>
                                              <w:divsChild>
                                                <w:div w:id="1304046470">
                                                  <w:marLeft w:val="0"/>
                                                  <w:marRight w:val="0"/>
                                                  <w:marTop w:val="0"/>
                                                  <w:marBottom w:val="0"/>
                                                  <w:divBdr>
                                                    <w:top w:val="none" w:sz="0" w:space="0" w:color="auto"/>
                                                    <w:left w:val="none" w:sz="0" w:space="0" w:color="auto"/>
                                                    <w:bottom w:val="none" w:sz="0" w:space="0" w:color="auto"/>
                                                    <w:right w:val="none" w:sz="0" w:space="0" w:color="auto"/>
                                                  </w:divBdr>
                                                  <w:divsChild>
                                                    <w:div w:id="75451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470114">
                                          <w:marLeft w:val="0"/>
                                          <w:marRight w:val="0"/>
                                          <w:marTop w:val="0"/>
                                          <w:marBottom w:val="0"/>
                                          <w:divBdr>
                                            <w:top w:val="none" w:sz="0" w:space="0" w:color="auto"/>
                                            <w:left w:val="none" w:sz="0" w:space="0" w:color="auto"/>
                                            <w:bottom w:val="none" w:sz="0" w:space="0" w:color="auto"/>
                                            <w:right w:val="none" w:sz="0" w:space="0" w:color="auto"/>
                                          </w:divBdr>
                                          <w:divsChild>
                                            <w:div w:id="764963300">
                                              <w:marLeft w:val="0"/>
                                              <w:marRight w:val="0"/>
                                              <w:marTop w:val="0"/>
                                              <w:marBottom w:val="0"/>
                                              <w:divBdr>
                                                <w:top w:val="none" w:sz="0" w:space="0" w:color="auto"/>
                                                <w:left w:val="none" w:sz="0" w:space="0" w:color="auto"/>
                                                <w:bottom w:val="none" w:sz="0" w:space="0" w:color="auto"/>
                                                <w:right w:val="none" w:sz="0" w:space="0" w:color="auto"/>
                                              </w:divBdr>
                                              <w:divsChild>
                                                <w:div w:id="174417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6527844">
                          <w:marLeft w:val="0"/>
                          <w:marRight w:val="0"/>
                          <w:marTop w:val="0"/>
                          <w:marBottom w:val="0"/>
                          <w:divBdr>
                            <w:top w:val="none" w:sz="0" w:space="0" w:color="auto"/>
                            <w:left w:val="none" w:sz="0" w:space="0" w:color="auto"/>
                            <w:bottom w:val="none" w:sz="0" w:space="0" w:color="auto"/>
                            <w:right w:val="none" w:sz="0" w:space="0" w:color="auto"/>
                          </w:divBdr>
                          <w:divsChild>
                            <w:div w:id="1921479891">
                              <w:marLeft w:val="0"/>
                              <w:marRight w:val="0"/>
                              <w:marTop w:val="0"/>
                              <w:marBottom w:val="0"/>
                              <w:divBdr>
                                <w:top w:val="none" w:sz="0" w:space="0" w:color="auto"/>
                                <w:left w:val="none" w:sz="0" w:space="0" w:color="auto"/>
                                <w:bottom w:val="none" w:sz="0" w:space="0" w:color="auto"/>
                                <w:right w:val="none" w:sz="0" w:space="0" w:color="auto"/>
                              </w:divBdr>
                              <w:divsChild>
                                <w:div w:id="1263876280">
                                  <w:marLeft w:val="0"/>
                                  <w:marRight w:val="0"/>
                                  <w:marTop w:val="0"/>
                                  <w:marBottom w:val="0"/>
                                  <w:divBdr>
                                    <w:top w:val="none" w:sz="0" w:space="0" w:color="auto"/>
                                    <w:left w:val="none" w:sz="0" w:space="0" w:color="auto"/>
                                    <w:bottom w:val="none" w:sz="0" w:space="0" w:color="auto"/>
                                    <w:right w:val="none" w:sz="0" w:space="0" w:color="auto"/>
                                  </w:divBdr>
                                  <w:divsChild>
                                    <w:div w:id="1374692587">
                                      <w:marLeft w:val="0"/>
                                      <w:marRight w:val="0"/>
                                      <w:marTop w:val="0"/>
                                      <w:marBottom w:val="0"/>
                                      <w:divBdr>
                                        <w:top w:val="none" w:sz="0" w:space="0" w:color="auto"/>
                                        <w:left w:val="none" w:sz="0" w:space="0" w:color="auto"/>
                                        <w:bottom w:val="none" w:sz="0" w:space="0" w:color="auto"/>
                                        <w:right w:val="none" w:sz="0" w:space="0" w:color="auto"/>
                                      </w:divBdr>
                                      <w:divsChild>
                                        <w:div w:id="358969107">
                                          <w:marLeft w:val="0"/>
                                          <w:marRight w:val="0"/>
                                          <w:marTop w:val="0"/>
                                          <w:marBottom w:val="0"/>
                                          <w:divBdr>
                                            <w:top w:val="none" w:sz="0" w:space="0" w:color="auto"/>
                                            <w:left w:val="none" w:sz="0" w:space="0" w:color="auto"/>
                                            <w:bottom w:val="none" w:sz="0" w:space="0" w:color="auto"/>
                                            <w:right w:val="none" w:sz="0" w:space="0" w:color="auto"/>
                                          </w:divBdr>
                                          <w:divsChild>
                                            <w:div w:id="566914246">
                                              <w:marLeft w:val="0"/>
                                              <w:marRight w:val="0"/>
                                              <w:marTop w:val="0"/>
                                              <w:marBottom w:val="0"/>
                                              <w:divBdr>
                                                <w:top w:val="none" w:sz="0" w:space="0" w:color="auto"/>
                                                <w:left w:val="none" w:sz="0" w:space="0" w:color="auto"/>
                                                <w:bottom w:val="none" w:sz="0" w:space="0" w:color="auto"/>
                                                <w:right w:val="none" w:sz="0" w:space="0" w:color="auto"/>
                                              </w:divBdr>
                                              <w:divsChild>
                                                <w:div w:id="688410710">
                                                  <w:marLeft w:val="0"/>
                                                  <w:marRight w:val="0"/>
                                                  <w:marTop w:val="0"/>
                                                  <w:marBottom w:val="0"/>
                                                  <w:divBdr>
                                                    <w:top w:val="none" w:sz="0" w:space="0" w:color="auto"/>
                                                    <w:left w:val="none" w:sz="0" w:space="0" w:color="auto"/>
                                                    <w:bottom w:val="none" w:sz="0" w:space="0" w:color="auto"/>
                                                    <w:right w:val="none" w:sz="0" w:space="0" w:color="auto"/>
                                                  </w:divBdr>
                                                  <w:divsChild>
                                                    <w:div w:id="146943454">
                                                      <w:marLeft w:val="0"/>
                                                      <w:marRight w:val="0"/>
                                                      <w:marTop w:val="0"/>
                                                      <w:marBottom w:val="0"/>
                                                      <w:divBdr>
                                                        <w:top w:val="none" w:sz="0" w:space="0" w:color="auto"/>
                                                        <w:left w:val="none" w:sz="0" w:space="0" w:color="auto"/>
                                                        <w:bottom w:val="none" w:sz="0" w:space="0" w:color="auto"/>
                                                        <w:right w:val="none" w:sz="0" w:space="0" w:color="auto"/>
                                                      </w:divBdr>
                                                      <w:divsChild>
                                                        <w:div w:id="91451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3408149">
                          <w:marLeft w:val="0"/>
                          <w:marRight w:val="0"/>
                          <w:marTop w:val="0"/>
                          <w:marBottom w:val="0"/>
                          <w:divBdr>
                            <w:top w:val="none" w:sz="0" w:space="0" w:color="auto"/>
                            <w:left w:val="none" w:sz="0" w:space="0" w:color="auto"/>
                            <w:bottom w:val="none" w:sz="0" w:space="0" w:color="auto"/>
                            <w:right w:val="none" w:sz="0" w:space="0" w:color="auto"/>
                          </w:divBdr>
                          <w:divsChild>
                            <w:div w:id="1441489720">
                              <w:marLeft w:val="0"/>
                              <w:marRight w:val="0"/>
                              <w:marTop w:val="0"/>
                              <w:marBottom w:val="0"/>
                              <w:divBdr>
                                <w:top w:val="none" w:sz="0" w:space="0" w:color="auto"/>
                                <w:left w:val="none" w:sz="0" w:space="0" w:color="auto"/>
                                <w:bottom w:val="none" w:sz="0" w:space="0" w:color="auto"/>
                                <w:right w:val="none" w:sz="0" w:space="0" w:color="auto"/>
                              </w:divBdr>
                              <w:divsChild>
                                <w:div w:id="1141657407">
                                  <w:marLeft w:val="0"/>
                                  <w:marRight w:val="0"/>
                                  <w:marTop w:val="0"/>
                                  <w:marBottom w:val="0"/>
                                  <w:divBdr>
                                    <w:top w:val="none" w:sz="0" w:space="0" w:color="auto"/>
                                    <w:left w:val="none" w:sz="0" w:space="0" w:color="auto"/>
                                    <w:bottom w:val="none" w:sz="0" w:space="0" w:color="auto"/>
                                    <w:right w:val="none" w:sz="0" w:space="0" w:color="auto"/>
                                  </w:divBdr>
                                  <w:divsChild>
                                    <w:div w:id="735904610">
                                      <w:marLeft w:val="0"/>
                                      <w:marRight w:val="0"/>
                                      <w:marTop w:val="0"/>
                                      <w:marBottom w:val="0"/>
                                      <w:divBdr>
                                        <w:top w:val="none" w:sz="0" w:space="0" w:color="auto"/>
                                        <w:left w:val="none" w:sz="0" w:space="0" w:color="auto"/>
                                        <w:bottom w:val="none" w:sz="0" w:space="0" w:color="auto"/>
                                        <w:right w:val="none" w:sz="0" w:space="0" w:color="auto"/>
                                      </w:divBdr>
                                      <w:divsChild>
                                        <w:div w:id="1016155515">
                                          <w:marLeft w:val="0"/>
                                          <w:marRight w:val="0"/>
                                          <w:marTop w:val="0"/>
                                          <w:marBottom w:val="0"/>
                                          <w:divBdr>
                                            <w:top w:val="none" w:sz="0" w:space="0" w:color="auto"/>
                                            <w:left w:val="none" w:sz="0" w:space="0" w:color="auto"/>
                                            <w:bottom w:val="none" w:sz="0" w:space="0" w:color="auto"/>
                                            <w:right w:val="none" w:sz="0" w:space="0" w:color="auto"/>
                                          </w:divBdr>
                                          <w:divsChild>
                                            <w:div w:id="1144935021">
                                              <w:marLeft w:val="0"/>
                                              <w:marRight w:val="0"/>
                                              <w:marTop w:val="0"/>
                                              <w:marBottom w:val="0"/>
                                              <w:divBdr>
                                                <w:top w:val="none" w:sz="0" w:space="0" w:color="auto"/>
                                                <w:left w:val="none" w:sz="0" w:space="0" w:color="auto"/>
                                                <w:bottom w:val="none" w:sz="0" w:space="0" w:color="auto"/>
                                                <w:right w:val="none" w:sz="0" w:space="0" w:color="auto"/>
                                              </w:divBdr>
                                              <w:divsChild>
                                                <w:div w:id="1569732247">
                                                  <w:marLeft w:val="0"/>
                                                  <w:marRight w:val="0"/>
                                                  <w:marTop w:val="0"/>
                                                  <w:marBottom w:val="0"/>
                                                  <w:divBdr>
                                                    <w:top w:val="none" w:sz="0" w:space="0" w:color="auto"/>
                                                    <w:left w:val="none" w:sz="0" w:space="0" w:color="auto"/>
                                                    <w:bottom w:val="none" w:sz="0" w:space="0" w:color="auto"/>
                                                    <w:right w:val="none" w:sz="0" w:space="0" w:color="auto"/>
                                                  </w:divBdr>
                                                  <w:divsChild>
                                                    <w:div w:id="98843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057969">
                                          <w:marLeft w:val="0"/>
                                          <w:marRight w:val="0"/>
                                          <w:marTop w:val="0"/>
                                          <w:marBottom w:val="0"/>
                                          <w:divBdr>
                                            <w:top w:val="none" w:sz="0" w:space="0" w:color="auto"/>
                                            <w:left w:val="none" w:sz="0" w:space="0" w:color="auto"/>
                                            <w:bottom w:val="none" w:sz="0" w:space="0" w:color="auto"/>
                                            <w:right w:val="none" w:sz="0" w:space="0" w:color="auto"/>
                                          </w:divBdr>
                                          <w:divsChild>
                                            <w:div w:id="1463616482">
                                              <w:marLeft w:val="0"/>
                                              <w:marRight w:val="0"/>
                                              <w:marTop w:val="0"/>
                                              <w:marBottom w:val="0"/>
                                              <w:divBdr>
                                                <w:top w:val="none" w:sz="0" w:space="0" w:color="auto"/>
                                                <w:left w:val="none" w:sz="0" w:space="0" w:color="auto"/>
                                                <w:bottom w:val="none" w:sz="0" w:space="0" w:color="auto"/>
                                                <w:right w:val="none" w:sz="0" w:space="0" w:color="auto"/>
                                              </w:divBdr>
                                              <w:divsChild>
                                                <w:div w:id="40345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8176306">
          <w:marLeft w:val="0"/>
          <w:marRight w:val="0"/>
          <w:marTop w:val="0"/>
          <w:marBottom w:val="0"/>
          <w:divBdr>
            <w:top w:val="none" w:sz="0" w:space="0" w:color="auto"/>
            <w:left w:val="none" w:sz="0" w:space="0" w:color="auto"/>
            <w:bottom w:val="none" w:sz="0" w:space="0" w:color="auto"/>
            <w:right w:val="none" w:sz="0" w:space="0" w:color="auto"/>
          </w:divBdr>
          <w:divsChild>
            <w:div w:id="1664816838">
              <w:marLeft w:val="0"/>
              <w:marRight w:val="0"/>
              <w:marTop w:val="0"/>
              <w:marBottom w:val="0"/>
              <w:divBdr>
                <w:top w:val="none" w:sz="0" w:space="0" w:color="auto"/>
                <w:left w:val="none" w:sz="0" w:space="0" w:color="auto"/>
                <w:bottom w:val="none" w:sz="0" w:space="0" w:color="auto"/>
                <w:right w:val="none" w:sz="0" w:space="0" w:color="auto"/>
              </w:divBdr>
              <w:divsChild>
                <w:div w:id="2045596233">
                  <w:marLeft w:val="0"/>
                  <w:marRight w:val="0"/>
                  <w:marTop w:val="0"/>
                  <w:marBottom w:val="0"/>
                  <w:divBdr>
                    <w:top w:val="none" w:sz="0" w:space="0" w:color="auto"/>
                    <w:left w:val="none" w:sz="0" w:space="0" w:color="auto"/>
                    <w:bottom w:val="none" w:sz="0" w:space="0" w:color="auto"/>
                    <w:right w:val="none" w:sz="0" w:space="0" w:color="auto"/>
                  </w:divBdr>
                  <w:divsChild>
                    <w:div w:id="663093725">
                      <w:marLeft w:val="0"/>
                      <w:marRight w:val="0"/>
                      <w:marTop w:val="0"/>
                      <w:marBottom w:val="0"/>
                      <w:divBdr>
                        <w:top w:val="none" w:sz="0" w:space="0" w:color="auto"/>
                        <w:left w:val="none" w:sz="0" w:space="0" w:color="auto"/>
                        <w:bottom w:val="none" w:sz="0" w:space="0" w:color="auto"/>
                        <w:right w:val="none" w:sz="0" w:space="0" w:color="auto"/>
                      </w:divBdr>
                      <w:divsChild>
                        <w:div w:id="109224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0628952">
      <w:bodyDiv w:val="1"/>
      <w:marLeft w:val="0"/>
      <w:marRight w:val="0"/>
      <w:marTop w:val="0"/>
      <w:marBottom w:val="0"/>
      <w:divBdr>
        <w:top w:val="none" w:sz="0" w:space="0" w:color="auto"/>
        <w:left w:val="none" w:sz="0" w:space="0" w:color="auto"/>
        <w:bottom w:val="none" w:sz="0" w:space="0" w:color="auto"/>
        <w:right w:val="none" w:sz="0" w:space="0" w:color="auto"/>
      </w:divBdr>
      <w:divsChild>
        <w:div w:id="583489294">
          <w:marLeft w:val="0"/>
          <w:marRight w:val="0"/>
          <w:marTop w:val="0"/>
          <w:marBottom w:val="0"/>
          <w:divBdr>
            <w:top w:val="none" w:sz="0" w:space="0" w:color="auto"/>
            <w:left w:val="none" w:sz="0" w:space="0" w:color="auto"/>
            <w:bottom w:val="none" w:sz="0" w:space="0" w:color="auto"/>
            <w:right w:val="none" w:sz="0" w:space="0" w:color="auto"/>
          </w:divBdr>
          <w:divsChild>
            <w:div w:id="1310133370">
              <w:marLeft w:val="0"/>
              <w:marRight w:val="0"/>
              <w:marTop w:val="0"/>
              <w:marBottom w:val="0"/>
              <w:divBdr>
                <w:top w:val="none" w:sz="0" w:space="0" w:color="auto"/>
                <w:left w:val="none" w:sz="0" w:space="0" w:color="auto"/>
                <w:bottom w:val="none" w:sz="0" w:space="0" w:color="auto"/>
                <w:right w:val="none" w:sz="0" w:space="0" w:color="auto"/>
              </w:divBdr>
              <w:divsChild>
                <w:div w:id="900941284">
                  <w:marLeft w:val="0"/>
                  <w:marRight w:val="0"/>
                  <w:marTop w:val="0"/>
                  <w:marBottom w:val="0"/>
                  <w:divBdr>
                    <w:top w:val="none" w:sz="0" w:space="0" w:color="auto"/>
                    <w:left w:val="none" w:sz="0" w:space="0" w:color="auto"/>
                    <w:bottom w:val="none" w:sz="0" w:space="0" w:color="auto"/>
                    <w:right w:val="none" w:sz="0" w:space="0" w:color="auto"/>
                  </w:divBdr>
                  <w:divsChild>
                    <w:div w:id="1965187894">
                      <w:marLeft w:val="0"/>
                      <w:marRight w:val="0"/>
                      <w:marTop w:val="0"/>
                      <w:marBottom w:val="0"/>
                      <w:divBdr>
                        <w:top w:val="none" w:sz="0" w:space="0" w:color="auto"/>
                        <w:left w:val="none" w:sz="0" w:space="0" w:color="auto"/>
                        <w:bottom w:val="none" w:sz="0" w:space="0" w:color="auto"/>
                        <w:right w:val="none" w:sz="0" w:space="0" w:color="auto"/>
                      </w:divBdr>
                      <w:divsChild>
                        <w:div w:id="109320373">
                          <w:marLeft w:val="0"/>
                          <w:marRight w:val="0"/>
                          <w:marTop w:val="0"/>
                          <w:marBottom w:val="0"/>
                          <w:divBdr>
                            <w:top w:val="none" w:sz="0" w:space="0" w:color="auto"/>
                            <w:left w:val="none" w:sz="0" w:space="0" w:color="auto"/>
                            <w:bottom w:val="none" w:sz="0" w:space="0" w:color="auto"/>
                            <w:right w:val="none" w:sz="0" w:space="0" w:color="auto"/>
                          </w:divBdr>
                          <w:divsChild>
                            <w:div w:id="1828016998">
                              <w:marLeft w:val="0"/>
                              <w:marRight w:val="0"/>
                              <w:marTop w:val="0"/>
                              <w:marBottom w:val="0"/>
                              <w:divBdr>
                                <w:top w:val="none" w:sz="0" w:space="0" w:color="auto"/>
                                <w:left w:val="none" w:sz="0" w:space="0" w:color="auto"/>
                                <w:bottom w:val="none" w:sz="0" w:space="0" w:color="auto"/>
                                <w:right w:val="none" w:sz="0" w:space="0" w:color="auto"/>
                              </w:divBdr>
                              <w:divsChild>
                                <w:div w:id="666791913">
                                  <w:marLeft w:val="0"/>
                                  <w:marRight w:val="0"/>
                                  <w:marTop w:val="0"/>
                                  <w:marBottom w:val="0"/>
                                  <w:divBdr>
                                    <w:top w:val="none" w:sz="0" w:space="0" w:color="auto"/>
                                    <w:left w:val="none" w:sz="0" w:space="0" w:color="auto"/>
                                    <w:bottom w:val="none" w:sz="0" w:space="0" w:color="auto"/>
                                    <w:right w:val="none" w:sz="0" w:space="0" w:color="auto"/>
                                  </w:divBdr>
                                  <w:divsChild>
                                    <w:div w:id="1999335046">
                                      <w:marLeft w:val="0"/>
                                      <w:marRight w:val="0"/>
                                      <w:marTop w:val="0"/>
                                      <w:marBottom w:val="0"/>
                                      <w:divBdr>
                                        <w:top w:val="none" w:sz="0" w:space="0" w:color="auto"/>
                                        <w:left w:val="none" w:sz="0" w:space="0" w:color="auto"/>
                                        <w:bottom w:val="none" w:sz="0" w:space="0" w:color="auto"/>
                                        <w:right w:val="none" w:sz="0" w:space="0" w:color="auto"/>
                                      </w:divBdr>
                                      <w:divsChild>
                                        <w:div w:id="473841053">
                                          <w:marLeft w:val="0"/>
                                          <w:marRight w:val="0"/>
                                          <w:marTop w:val="0"/>
                                          <w:marBottom w:val="0"/>
                                          <w:divBdr>
                                            <w:top w:val="none" w:sz="0" w:space="0" w:color="auto"/>
                                            <w:left w:val="none" w:sz="0" w:space="0" w:color="auto"/>
                                            <w:bottom w:val="none" w:sz="0" w:space="0" w:color="auto"/>
                                            <w:right w:val="none" w:sz="0" w:space="0" w:color="auto"/>
                                          </w:divBdr>
                                          <w:divsChild>
                                            <w:div w:id="811219566">
                                              <w:marLeft w:val="0"/>
                                              <w:marRight w:val="0"/>
                                              <w:marTop w:val="0"/>
                                              <w:marBottom w:val="0"/>
                                              <w:divBdr>
                                                <w:top w:val="none" w:sz="0" w:space="0" w:color="auto"/>
                                                <w:left w:val="none" w:sz="0" w:space="0" w:color="auto"/>
                                                <w:bottom w:val="none" w:sz="0" w:space="0" w:color="auto"/>
                                                <w:right w:val="none" w:sz="0" w:space="0" w:color="auto"/>
                                              </w:divBdr>
                                              <w:divsChild>
                                                <w:div w:id="172766463">
                                                  <w:marLeft w:val="0"/>
                                                  <w:marRight w:val="0"/>
                                                  <w:marTop w:val="0"/>
                                                  <w:marBottom w:val="0"/>
                                                  <w:divBdr>
                                                    <w:top w:val="none" w:sz="0" w:space="0" w:color="auto"/>
                                                    <w:left w:val="none" w:sz="0" w:space="0" w:color="auto"/>
                                                    <w:bottom w:val="none" w:sz="0" w:space="0" w:color="auto"/>
                                                    <w:right w:val="none" w:sz="0" w:space="0" w:color="auto"/>
                                                  </w:divBdr>
                                                  <w:divsChild>
                                                    <w:div w:id="678040628">
                                                      <w:marLeft w:val="0"/>
                                                      <w:marRight w:val="0"/>
                                                      <w:marTop w:val="0"/>
                                                      <w:marBottom w:val="0"/>
                                                      <w:divBdr>
                                                        <w:top w:val="none" w:sz="0" w:space="0" w:color="auto"/>
                                                        <w:left w:val="none" w:sz="0" w:space="0" w:color="auto"/>
                                                        <w:bottom w:val="none" w:sz="0" w:space="0" w:color="auto"/>
                                                        <w:right w:val="none" w:sz="0" w:space="0" w:color="auto"/>
                                                      </w:divBdr>
                                                      <w:divsChild>
                                                        <w:div w:id="1284271037">
                                                          <w:blockQuote w:val="1"/>
                                                          <w:marLeft w:val="720"/>
                                                          <w:marRight w:val="720"/>
                                                          <w:marTop w:val="100"/>
                                                          <w:marBottom w:val="100"/>
                                                          <w:divBdr>
                                                            <w:top w:val="none" w:sz="0" w:space="0" w:color="auto"/>
                                                            <w:left w:val="none" w:sz="0" w:space="0" w:color="auto"/>
                                                            <w:bottom w:val="none" w:sz="0" w:space="0" w:color="auto"/>
                                                            <w:right w:val="none" w:sz="0" w:space="0" w:color="auto"/>
                                                          </w:divBdr>
                                                        </w:div>
                                                        <w:div w:id="1630360099">
                                                          <w:blockQuote w:val="1"/>
                                                          <w:marLeft w:val="720"/>
                                                          <w:marRight w:val="720"/>
                                                          <w:marTop w:val="100"/>
                                                          <w:marBottom w:val="100"/>
                                                          <w:divBdr>
                                                            <w:top w:val="none" w:sz="0" w:space="0" w:color="auto"/>
                                                            <w:left w:val="none" w:sz="0" w:space="0" w:color="auto"/>
                                                            <w:bottom w:val="none" w:sz="0" w:space="0" w:color="auto"/>
                                                            <w:right w:val="none" w:sz="0" w:space="0" w:color="auto"/>
                                                          </w:divBdr>
                                                        </w:div>
                                                        <w:div w:id="960845575">
                                                          <w:blockQuote w:val="1"/>
                                                          <w:marLeft w:val="720"/>
                                                          <w:marRight w:val="720"/>
                                                          <w:marTop w:val="100"/>
                                                          <w:marBottom w:val="100"/>
                                                          <w:divBdr>
                                                            <w:top w:val="none" w:sz="0" w:space="0" w:color="auto"/>
                                                            <w:left w:val="none" w:sz="0" w:space="0" w:color="auto"/>
                                                            <w:bottom w:val="none" w:sz="0" w:space="0" w:color="auto"/>
                                                            <w:right w:val="none" w:sz="0" w:space="0" w:color="auto"/>
                                                          </w:divBdr>
                                                        </w:div>
                                                        <w:div w:id="942299919">
                                                          <w:blockQuote w:val="1"/>
                                                          <w:marLeft w:val="720"/>
                                                          <w:marRight w:val="720"/>
                                                          <w:marTop w:val="100"/>
                                                          <w:marBottom w:val="100"/>
                                                          <w:divBdr>
                                                            <w:top w:val="none" w:sz="0" w:space="0" w:color="auto"/>
                                                            <w:left w:val="none" w:sz="0" w:space="0" w:color="auto"/>
                                                            <w:bottom w:val="none" w:sz="0" w:space="0" w:color="auto"/>
                                                            <w:right w:val="none" w:sz="0" w:space="0" w:color="auto"/>
                                                          </w:divBdr>
                                                        </w:div>
                                                        <w:div w:id="1996374064">
                                                          <w:blockQuote w:val="1"/>
                                                          <w:marLeft w:val="720"/>
                                                          <w:marRight w:val="720"/>
                                                          <w:marTop w:val="100"/>
                                                          <w:marBottom w:val="100"/>
                                                          <w:divBdr>
                                                            <w:top w:val="none" w:sz="0" w:space="0" w:color="auto"/>
                                                            <w:left w:val="none" w:sz="0" w:space="0" w:color="auto"/>
                                                            <w:bottom w:val="none" w:sz="0" w:space="0" w:color="auto"/>
                                                            <w:right w:val="none" w:sz="0" w:space="0" w:color="auto"/>
                                                          </w:divBdr>
                                                        </w:div>
                                                        <w:div w:id="165559487">
                                                          <w:blockQuote w:val="1"/>
                                                          <w:marLeft w:val="720"/>
                                                          <w:marRight w:val="720"/>
                                                          <w:marTop w:val="100"/>
                                                          <w:marBottom w:val="100"/>
                                                          <w:divBdr>
                                                            <w:top w:val="none" w:sz="0" w:space="0" w:color="auto"/>
                                                            <w:left w:val="none" w:sz="0" w:space="0" w:color="auto"/>
                                                            <w:bottom w:val="none" w:sz="0" w:space="0" w:color="auto"/>
                                                            <w:right w:val="none" w:sz="0" w:space="0" w:color="auto"/>
                                                          </w:divBdr>
                                                        </w:div>
                                                        <w:div w:id="2045520423">
                                                          <w:blockQuote w:val="1"/>
                                                          <w:marLeft w:val="720"/>
                                                          <w:marRight w:val="720"/>
                                                          <w:marTop w:val="100"/>
                                                          <w:marBottom w:val="100"/>
                                                          <w:divBdr>
                                                            <w:top w:val="none" w:sz="0" w:space="0" w:color="auto"/>
                                                            <w:left w:val="none" w:sz="0" w:space="0" w:color="auto"/>
                                                            <w:bottom w:val="none" w:sz="0" w:space="0" w:color="auto"/>
                                                            <w:right w:val="none" w:sz="0" w:space="0" w:color="auto"/>
                                                          </w:divBdr>
                                                        </w:div>
                                                        <w:div w:id="722872584">
                                                          <w:blockQuote w:val="1"/>
                                                          <w:marLeft w:val="720"/>
                                                          <w:marRight w:val="720"/>
                                                          <w:marTop w:val="100"/>
                                                          <w:marBottom w:val="100"/>
                                                          <w:divBdr>
                                                            <w:top w:val="none" w:sz="0" w:space="0" w:color="auto"/>
                                                            <w:left w:val="none" w:sz="0" w:space="0" w:color="auto"/>
                                                            <w:bottom w:val="none" w:sz="0" w:space="0" w:color="auto"/>
                                                            <w:right w:val="none" w:sz="0" w:space="0" w:color="auto"/>
                                                          </w:divBdr>
                                                        </w:div>
                                                        <w:div w:id="707291824">
                                                          <w:blockQuote w:val="1"/>
                                                          <w:marLeft w:val="720"/>
                                                          <w:marRight w:val="720"/>
                                                          <w:marTop w:val="100"/>
                                                          <w:marBottom w:val="100"/>
                                                          <w:divBdr>
                                                            <w:top w:val="none" w:sz="0" w:space="0" w:color="auto"/>
                                                            <w:left w:val="none" w:sz="0" w:space="0" w:color="auto"/>
                                                            <w:bottom w:val="none" w:sz="0" w:space="0" w:color="auto"/>
                                                            <w:right w:val="none" w:sz="0" w:space="0" w:color="auto"/>
                                                          </w:divBdr>
                                                        </w:div>
                                                        <w:div w:id="2000841914">
                                                          <w:blockQuote w:val="1"/>
                                                          <w:marLeft w:val="720"/>
                                                          <w:marRight w:val="720"/>
                                                          <w:marTop w:val="100"/>
                                                          <w:marBottom w:val="100"/>
                                                          <w:divBdr>
                                                            <w:top w:val="none" w:sz="0" w:space="0" w:color="auto"/>
                                                            <w:left w:val="none" w:sz="0" w:space="0" w:color="auto"/>
                                                            <w:bottom w:val="none" w:sz="0" w:space="0" w:color="auto"/>
                                                            <w:right w:val="none" w:sz="0" w:space="0" w:color="auto"/>
                                                          </w:divBdr>
                                                        </w:div>
                                                        <w:div w:id="1152523949">
                                                          <w:blockQuote w:val="1"/>
                                                          <w:marLeft w:val="720"/>
                                                          <w:marRight w:val="720"/>
                                                          <w:marTop w:val="100"/>
                                                          <w:marBottom w:val="100"/>
                                                          <w:divBdr>
                                                            <w:top w:val="none" w:sz="0" w:space="0" w:color="auto"/>
                                                            <w:left w:val="none" w:sz="0" w:space="0" w:color="auto"/>
                                                            <w:bottom w:val="none" w:sz="0" w:space="0" w:color="auto"/>
                                                            <w:right w:val="none" w:sz="0" w:space="0" w:color="auto"/>
                                                          </w:divBdr>
                                                        </w:div>
                                                        <w:div w:id="18624710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638955350">
                                          <w:marLeft w:val="0"/>
                                          <w:marRight w:val="0"/>
                                          <w:marTop w:val="0"/>
                                          <w:marBottom w:val="0"/>
                                          <w:divBdr>
                                            <w:top w:val="none" w:sz="0" w:space="0" w:color="auto"/>
                                            <w:left w:val="none" w:sz="0" w:space="0" w:color="auto"/>
                                            <w:bottom w:val="none" w:sz="0" w:space="0" w:color="auto"/>
                                            <w:right w:val="none" w:sz="0" w:space="0" w:color="auto"/>
                                          </w:divBdr>
                                          <w:divsChild>
                                            <w:div w:id="1618177187">
                                              <w:marLeft w:val="0"/>
                                              <w:marRight w:val="0"/>
                                              <w:marTop w:val="0"/>
                                              <w:marBottom w:val="0"/>
                                              <w:divBdr>
                                                <w:top w:val="none" w:sz="0" w:space="0" w:color="auto"/>
                                                <w:left w:val="none" w:sz="0" w:space="0" w:color="auto"/>
                                                <w:bottom w:val="none" w:sz="0" w:space="0" w:color="auto"/>
                                                <w:right w:val="none" w:sz="0" w:space="0" w:color="auto"/>
                                              </w:divBdr>
                                              <w:divsChild>
                                                <w:div w:id="144325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9430620">
          <w:marLeft w:val="0"/>
          <w:marRight w:val="0"/>
          <w:marTop w:val="0"/>
          <w:marBottom w:val="0"/>
          <w:divBdr>
            <w:top w:val="none" w:sz="0" w:space="0" w:color="auto"/>
            <w:left w:val="none" w:sz="0" w:space="0" w:color="auto"/>
            <w:bottom w:val="none" w:sz="0" w:space="0" w:color="auto"/>
            <w:right w:val="none" w:sz="0" w:space="0" w:color="auto"/>
          </w:divBdr>
          <w:divsChild>
            <w:div w:id="423647464">
              <w:marLeft w:val="0"/>
              <w:marRight w:val="0"/>
              <w:marTop w:val="0"/>
              <w:marBottom w:val="0"/>
              <w:divBdr>
                <w:top w:val="none" w:sz="0" w:space="0" w:color="auto"/>
                <w:left w:val="none" w:sz="0" w:space="0" w:color="auto"/>
                <w:bottom w:val="none" w:sz="0" w:space="0" w:color="auto"/>
                <w:right w:val="none" w:sz="0" w:space="0" w:color="auto"/>
              </w:divBdr>
              <w:divsChild>
                <w:div w:id="421990408">
                  <w:marLeft w:val="0"/>
                  <w:marRight w:val="0"/>
                  <w:marTop w:val="0"/>
                  <w:marBottom w:val="0"/>
                  <w:divBdr>
                    <w:top w:val="none" w:sz="0" w:space="0" w:color="auto"/>
                    <w:left w:val="none" w:sz="0" w:space="0" w:color="auto"/>
                    <w:bottom w:val="none" w:sz="0" w:space="0" w:color="auto"/>
                    <w:right w:val="none" w:sz="0" w:space="0" w:color="auto"/>
                  </w:divBdr>
                  <w:divsChild>
                    <w:div w:id="1363750072">
                      <w:marLeft w:val="0"/>
                      <w:marRight w:val="0"/>
                      <w:marTop w:val="0"/>
                      <w:marBottom w:val="0"/>
                      <w:divBdr>
                        <w:top w:val="none" w:sz="0" w:space="0" w:color="auto"/>
                        <w:left w:val="none" w:sz="0" w:space="0" w:color="auto"/>
                        <w:bottom w:val="none" w:sz="0" w:space="0" w:color="auto"/>
                        <w:right w:val="none" w:sz="0" w:space="0" w:color="auto"/>
                      </w:divBdr>
                      <w:divsChild>
                        <w:div w:id="129016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0275484">
      <w:bodyDiv w:val="1"/>
      <w:marLeft w:val="0"/>
      <w:marRight w:val="0"/>
      <w:marTop w:val="0"/>
      <w:marBottom w:val="0"/>
      <w:divBdr>
        <w:top w:val="none" w:sz="0" w:space="0" w:color="auto"/>
        <w:left w:val="none" w:sz="0" w:space="0" w:color="auto"/>
        <w:bottom w:val="none" w:sz="0" w:space="0" w:color="auto"/>
        <w:right w:val="none" w:sz="0" w:space="0" w:color="auto"/>
      </w:divBdr>
    </w:div>
    <w:div w:id="1464738906">
      <w:bodyDiv w:val="1"/>
      <w:marLeft w:val="0"/>
      <w:marRight w:val="0"/>
      <w:marTop w:val="0"/>
      <w:marBottom w:val="0"/>
      <w:divBdr>
        <w:top w:val="none" w:sz="0" w:space="0" w:color="auto"/>
        <w:left w:val="none" w:sz="0" w:space="0" w:color="auto"/>
        <w:bottom w:val="none" w:sz="0" w:space="0" w:color="auto"/>
        <w:right w:val="none" w:sz="0" w:space="0" w:color="auto"/>
      </w:divBdr>
    </w:div>
    <w:div w:id="1504780183">
      <w:bodyDiv w:val="1"/>
      <w:marLeft w:val="0"/>
      <w:marRight w:val="0"/>
      <w:marTop w:val="0"/>
      <w:marBottom w:val="0"/>
      <w:divBdr>
        <w:top w:val="none" w:sz="0" w:space="0" w:color="auto"/>
        <w:left w:val="none" w:sz="0" w:space="0" w:color="auto"/>
        <w:bottom w:val="none" w:sz="0" w:space="0" w:color="auto"/>
        <w:right w:val="none" w:sz="0" w:space="0" w:color="auto"/>
      </w:divBdr>
    </w:div>
    <w:div w:id="1518615365">
      <w:bodyDiv w:val="1"/>
      <w:marLeft w:val="0"/>
      <w:marRight w:val="0"/>
      <w:marTop w:val="0"/>
      <w:marBottom w:val="0"/>
      <w:divBdr>
        <w:top w:val="none" w:sz="0" w:space="0" w:color="auto"/>
        <w:left w:val="none" w:sz="0" w:space="0" w:color="auto"/>
        <w:bottom w:val="none" w:sz="0" w:space="0" w:color="auto"/>
        <w:right w:val="none" w:sz="0" w:space="0" w:color="auto"/>
      </w:divBdr>
    </w:div>
    <w:div w:id="1525484186">
      <w:bodyDiv w:val="1"/>
      <w:marLeft w:val="0"/>
      <w:marRight w:val="0"/>
      <w:marTop w:val="0"/>
      <w:marBottom w:val="0"/>
      <w:divBdr>
        <w:top w:val="none" w:sz="0" w:space="0" w:color="auto"/>
        <w:left w:val="none" w:sz="0" w:space="0" w:color="auto"/>
        <w:bottom w:val="none" w:sz="0" w:space="0" w:color="auto"/>
        <w:right w:val="none" w:sz="0" w:space="0" w:color="auto"/>
      </w:divBdr>
    </w:div>
    <w:div w:id="1574581951">
      <w:bodyDiv w:val="1"/>
      <w:marLeft w:val="0"/>
      <w:marRight w:val="0"/>
      <w:marTop w:val="0"/>
      <w:marBottom w:val="0"/>
      <w:divBdr>
        <w:top w:val="none" w:sz="0" w:space="0" w:color="auto"/>
        <w:left w:val="none" w:sz="0" w:space="0" w:color="auto"/>
        <w:bottom w:val="none" w:sz="0" w:space="0" w:color="auto"/>
        <w:right w:val="none" w:sz="0" w:space="0" w:color="auto"/>
      </w:divBdr>
    </w:div>
    <w:div w:id="1600330152">
      <w:bodyDiv w:val="1"/>
      <w:marLeft w:val="0"/>
      <w:marRight w:val="0"/>
      <w:marTop w:val="0"/>
      <w:marBottom w:val="0"/>
      <w:divBdr>
        <w:top w:val="none" w:sz="0" w:space="0" w:color="auto"/>
        <w:left w:val="none" w:sz="0" w:space="0" w:color="auto"/>
        <w:bottom w:val="none" w:sz="0" w:space="0" w:color="auto"/>
        <w:right w:val="none" w:sz="0" w:space="0" w:color="auto"/>
      </w:divBdr>
    </w:div>
    <w:div w:id="1610042476">
      <w:bodyDiv w:val="1"/>
      <w:marLeft w:val="0"/>
      <w:marRight w:val="0"/>
      <w:marTop w:val="0"/>
      <w:marBottom w:val="0"/>
      <w:divBdr>
        <w:top w:val="none" w:sz="0" w:space="0" w:color="auto"/>
        <w:left w:val="none" w:sz="0" w:space="0" w:color="auto"/>
        <w:bottom w:val="none" w:sz="0" w:space="0" w:color="auto"/>
        <w:right w:val="none" w:sz="0" w:space="0" w:color="auto"/>
      </w:divBdr>
    </w:div>
    <w:div w:id="1649362620">
      <w:bodyDiv w:val="1"/>
      <w:marLeft w:val="0"/>
      <w:marRight w:val="0"/>
      <w:marTop w:val="0"/>
      <w:marBottom w:val="0"/>
      <w:divBdr>
        <w:top w:val="none" w:sz="0" w:space="0" w:color="auto"/>
        <w:left w:val="none" w:sz="0" w:space="0" w:color="auto"/>
        <w:bottom w:val="none" w:sz="0" w:space="0" w:color="auto"/>
        <w:right w:val="none" w:sz="0" w:space="0" w:color="auto"/>
      </w:divBdr>
    </w:div>
    <w:div w:id="1713382233">
      <w:bodyDiv w:val="1"/>
      <w:marLeft w:val="0"/>
      <w:marRight w:val="0"/>
      <w:marTop w:val="0"/>
      <w:marBottom w:val="0"/>
      <w:divBdr>
        <w:top w:val="none" w:sz="0" w:space="0" w:color="auto"/>
        <w:left w:val="none" w:sz="0" w:space="0" w:color="auto"/>
        <w:bottom w:val="none" w:sz="0" w:space="0" w:color="auto"/>
        <w:right w:val="none" w:sz="0" w:space="0" w:color="auto"/>
      </w:divBdr>
      <w:divsChild>
        <w:div w:id="2134472829">
          <w:marLeft w:val="0"/>
          <w:marRight w:val="0"/>
          <w:marTop w:val="0"/>
          <w:marBottom w:val="0"/>
          <w:divBdr>
            <w:top w:val="none" w:sz="0" w:space="0" w:color="auto"/>
            <w:left w:val="none" w:sz="0" w:space="0" w:color="auto"/>
            <w:bottom w:val="none" w:sz="0" w:space="0" w:color="auto"/>
            <w:right w:val="none" w:sz="0" w:space="0" w:color="auto"/>
          </w:divBdr>
          <w:divsChild>
            <w:div w:id="348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542017">
      <w:bodyDiv w:val="1"/>
      <w:marLeft w:val="0"/>
      <w:marRight w:val="0"/>
      <w:marTop w:val="0"/>
      <w:marBottom w:val="0"/>
      <w:divBdr>
        <w:top w:val="none" w:sz="0" w:space="0" w:color="auto"/>
        <w:left w:val="none" w:sz="0" w:space="0" w:color="auto"/>
        <w:bottom w:val="none" w:sz="0" w:space="0" w:color="auto"/>
        <w:right w:val="none" w:sz="0" w:space="0" w:color="auto"/>
      </w:divBdr>
    </w:div>
    <w:div w:id="1739743833">
      <w:bodyDiv w:val="1"/>
      <w:marLeft w:val="0"/>
      <w:marRight w:val="0"/>
      <w:marTop w:val="0"/>
      <w:marBottom w:val="0"/>
      <w:divBdr>
        <w:top w:val="none" w:sz="0" w:space="0" w:color="auto"/>
        <w:left w:val="none" w:sz="0" w:space="0" w:color="auto"/>
        <w:bottom w:val="none" w:sz="0" w:space="0" w:color="auto"/>
        <w:right w:val="none" w:sz="0" w:space="0" w:color="auto"/>
      </w:divBdr>
    </w:div>
    <w:div w:id="1825049160">
      <w:bodyDiv w:val="1"/>
      <w:marLeft w:val="0"/>
      <w:marRight w:val="0"/>
      <w:marTop w:val="0"/>
      <w:marBottom w:val="0"/>
      <w:divBdr>
        <w:top w:val="none" w:sz="0" w:space="0" w:color="auto"/>
        <w:left w:val="none" w:sz="0" w:space="0" w:color="auto"/>
        <w:bottom w:val="none" w:sz="0" w:space="0" w:color="auto"/>
        <w:right w:val="none" w:sz="0" w:space="0" w:color="auto"/>
      </w:divBdr>
    </w:div>
    <w:div w:id="2056461123">
      <w:bodyDiv w:val="1"/>
      <w:marLeft w:val="0"/>
      <w:marRight w:val="0"/>
      <w:marTop w:val="0"/>
      <w:marBottom w:val="0"/>
      <w:divBdr>
        <w:top w:val="none" w:sz="0" w:space="0" w:color="auto"/>
        <w:left w:val="none" w:sz="0" w:space="0" w:color="auto"/>
        <w:bottom w:val="none" w:sz="0" w:space="0" w:color="auto"/>
        <w:right w:val="none" w:sz="0" w:space="0" w:color="auto"/>
      </w:divBdr>
    </w:div>
    <w:div w:id="2145808166">
      <w:bodyDiv w:val="1"/>
      <w:marLeft w:val="0"/>
      <w:marRight w:val="0"/>
      <w:marTop w:val="0"/>
      <w:marBottom w:val="0"/>
      <w:divBdr>
        <w:top w:val="none" w:sz="0" w:space="0" w:color="auto"/>
        <w:left w:val="none" w:sz="0" w:space="0" w:color="auto"/>
        <w:bottom w:val="none" w:sz="0" w:space="0" w:color="auto"/>
        <w:right w:val="none" w:sz="0" w:space="0" w:color="auto"/>
      </w:divBdr>
      <w:divsChild>
        <w:div w:id="1729914423">
          <w:marLeft w:val="0"/>
          <w:marRight w:val="0"/>
          <w:marTop w:val="0"/>
          <w:marBottom w:val="0"/>
          <w:divBdr>
            <w:top w:val="none" w:sz="0" w:space="0" w:color="auto"/>
            <w:left w:val="none" w:sz="0" w:space="0" w:color="auto"/>
            <w:bottom w:val="none" w:sz="0" w:space="0" w:color="auto"/>
            <w:right w:val="none" w:sz="0" w:space="0" w:color="auto"/>
          </w:divBdr>
          <w:divsChild>
            <w:div w:id="35149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rohnscolitisfoundation.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s://www.who.int/publications/i/item/978924156525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euro.who.int/en/publications/abstracts/health-literacy.-the-solid-facts" TargetMode="External"/><Relationship Id="rId5" Type="http://schemas.openxmlformats.org/officeDocument/2006/relationships/image" Target="media/image1.png"/><Relationship Id="rId10" Type="http://schemas.openxmlformats.org/officeDocument/2006/relationships/hyperlink" Target="https://www.icn.ch" TargetMode="External"/><Relationship Id="rId4" Type="http://schemas.openxmlformats.org/officeDocument/2006/relationships/webSettings" Target="webSettings.xml"/><Relationship Id="rId9" Type="http://schemas.openxmlformats.org/officeDocument/2006/relationships/hyperlink" Target="https://ecco-ibd.e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73</Pages>
  <Words>75514</Words>
  <Characters>43043</Characters>
  <Application>Microsoft Office Word</Application>
  <DocSecurity>0</DocSecurity>
  <Lines>358</Lines>
  <Paragraphs>236</Paragraphs>
  <ScaleCrop>false</ScaleCrop>
  <Company/>
  <LinksUpToDate>false</LinksUpToDate>
  <CharactersWithSpaces>118321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Prokopchuk Oksana / Прокопчук Оксана Володимирівна</dc:creator>
  <cp:keywords/>
  <dc:description/>
  <cp:lastModifiedBy>Світлана Даньчак</cp:lastModifiedBy>
  <cp:revision>54</cp:revision>
  <dcterms:created xsi:type="dcterms:W3CDTF">2025-05-06T11:35:00Z</dcterms:created>
  <dcterms:modified xsi:type="dcterms:W3CDTF">2025-08-16T10:23:00Z</dcterms:modified>
</cp:coreProperties>
</file>